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EFA25" w14:textId="77777777" w:rsidR="00FE66FF" w:rsidRPr="004E6CEA" w:rsidRDefault="00FE66FF" w:rsidP="00FE66FF">
      <w:pPr>
        <w:spacing w:after="0"/>
        <w:rPr>
          <w:rFonts w:ascii="Arial" w:hAnsi="Arial" w:cs="Arial"/>
          <w:color w:val="D0CECE" w:themeColor="background2" w:themeShade="E6"/>
          <w:sz w:val="40"/>
          <w:szCs w:val="40"/>
        </w:rPr>
      </w:pPr>
      <w:bookmarkStart w:id="0" w:name="_GoBack"/>
      <w:bookmarkEnd w:id="0"/>
      <w:r w:rsidRPr="004E6CEA">
        <w:rPr>
          <w:rFonts w:ascii="Arial" w:hAnsi="Arial" w:cs="Arial"/>
          <w:noProof/>
          <w:color w:val="D0CECE" w:themeColor="background2" w:themeShade="E6"/>
          <w:sz w:val="40"/>
          <w:szCs w:val="40"/>
          <w:lang w:val="en-US"/>
        </w:rPr>
        <mc:AlternateContent>
          <mc:Choice Requires="wps">
            <w:drawing>
              <wp:anchor distT="0" distB="0" distL="114300" distR="114300" simplePos="0" relativeHeight="251659264" behindDoc="1" locked="0" layoutInCell="1" allowOverlap="1" wp14:anchorId="38E2C54A" wp14:editId="6EB7883D">
                <wp:simplePos x="0" y="0"/>
                <wp:positionH relativeFrom="column">
                  <wp:posOffset>-660400</wp:posOffset>
                </wp:positionH>
                <wp:positionV relativeFrom="paragraph">
                  <wp:posOffset>-500380</wp:posOffset>
                </wp:positionV>
                <wp:extent cx="5939625" cy="1231900"/>
                <wp:effectExtent l="0" t="0" r="4445" b="6350"/>
                <wp:wrapNone/>
                <wp:docPr id="1" name="Rectangle 1"/>
                <wp:cNvGraphicFramePr/>
                <a:graphic xmlns:a="http://schemas.openxmlformats.org/drawingml/2006/main">
                  <a:graphicData uri="http://schemas.microsoft.com/office/word/2010/wordprocessingShape">
                    <wps:wsp>
                      <wps:cNvSpPr/>
                      <wps:spPr>
                        <a:xfrm>
                          <a:off x="0" y="0"/>
                          <a:ext cx="5939625" cy="1231900"/>
                        </a:xfrm>
                        <a:prstGeom prst="rect">
                          <a:avLst/>
                        </a:prstGeom>
                        <a:solidFill>
                          <a:srgbClr val="726E52"/>
                        </a:solidFill>
                        <a:ln w="12700" cap="flat" cmpd="sng" algn="ctr">
                          <a:noFill/>
                          <a:prstDash val="solid"/>
                          <a:miter lim="800000"/>
                        </a:ln>
                        <a:effectLst/>
                      </wps:spPr>
                      <wps:txbx>
                        <w:txbxContent>
                          <w:p w14:paraId="30F89C5F" w14:textId="77777777" w:rsidR="000D5380" w:rsidRDefault="000D5380" w:rsidP="00FE66F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2C54A" id="Rectangle 1" o:spid="_x0000_s1026" style="position:absolute;margin-left:-52pt;margin-top:-39.4pt;width:467.7pt;height:9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" fillcolor="#726e52" stroked="f" strokeweight="1pt">
                <v:textbox>
                  <w:txbxContent>
                    <w:p w14:paraId="30F89C5F" w14:textId="77777777" w:rsidR="000D5380" w:rsidRDefault="000D5380" w:rsidP="00FE66FF"/>
                  </w:txbxContent>
                </v:textbox>
              </v:rect>
            </w:pict>
          </mc:Fallback>
        </mc:AlternateContent>
      </w:r>
      <w:r w:rsidRPr="004E6CEA">
        <w:rPr>
          <w:rFonts w:ascii="Arial" w:hAnsi="Arial" w:cs="Arial"/>
          <w:color w:val="D0CECE" w:themeColor="background2" w:themeShade="E6"/>
          <w:sz w:val="40"/>
          <w:szCs w:val="40"/>
        </w:rPr>
        <w:t>PLAIN PACKAGING</w:t>
      </w:r>
    </w:p>
    <w:p w14:paraId="34FF4BA9" w14:textId="103B806C" w:rsidR="00FE66FF" w:rsidRPr="004E6CEA" w:rsidRDefault="002E7E24">
      <w:pPr>
        <w:rPr>
          <w:rFonts w:ascii="Arial" w:hAnsi="Arial" w:cs="Arial"/>
          <w:color w:val="D0CECE" w:themeColor="background2" w:themeShade="E6"/>
          <w:sz w:val="40"/>
          <w:szCs w:val="40"/>
        </w:rPr>
      </w:pPr>
      <w:r>
        <w:rPr>
          <w:noProof/>
        </w:rPr>
        <w:pict w14:anchorId="6F760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427.8pt;margin-top:2.6pt;width:103.85pt;height:168.45pt;z-index:251676672;mso-position-horizontal-relative:text;mso-position-vertical-relative:text;mso-width-relative:page;mso-height-relative:page">
            <v:imagedata r:id="rId8" o:title="Gauloises_CGC_France_RED_KS_Persp_closed_600dpi_isoV2140801"/>
          </v:shape>
        </w:pict>
      </w:r>
      <w:r w:rsidR="00FE66FF" w:rsidRPr="004E6CEA">
        <w:rPr>
          <w:rFonts w:ascii="Arial" w:hAnsi="Arial" w:cs="Arial"/>
          <w:color w:val="D0CECE" w:themeColor="background2" w:themeShade="E6"/>
          <w:sz w:val="40"/>
          <w:szCs w:val="40"/>
        </w:rPr>
        <w:t>What is it</w:t>
      </w:r>
      <w:r w:rsidR="00FC6ECF">
        <w:rPr>
          <w:rFonts w:ascii="Arial" w:hAnsi="Arial" w:cs="Arial"/>
          <w:color w:val="D0CECE" w:themeColor="background2" w:themeShade="E6"/>
          <w:sz w:val="40"/>
          <w:szCs w:val="40"/>
        </w:rPr>
        <w:t>,</w:t>
      </w:r>
      <w:r w:rsidR="00FE66FF" w:rsidRPr="004E6CEA">
        <w:rPr>
          <w:rFonts w:ascii="Arial" w:hAnsi="Arial" w:cs="Arial"/>
          <w:color w:val="D0CECE" w:themeColor="background2" w:themeShade="E6"/>
          <w:sz w:val="40"/>
          <w:szCs w:val="40"/>
        </w:rPr>
        <w:t xml:space="preserve"> and why is it needed?</w:t>
      </w:r>
    </w:p>
    <w:p w14:paraId="410673A7" w14:textId="2FB2E0CF" w:rsidR="00FE66FF" w:rsidRPr="001C7E1C" w:rsidRDefault="00FE66FF" w:rsidP="004E6CEA">
      <w:pPr>
        <w:pStyle w:val="ListParagraph"/>
        <w:tabs>
          <w:tab w:val="left" w:pos="6663"/>
        </w:tabs>
        <w:spacing w:before="240" w:after="80" w:line="240" w:lineRule="auto"/>
        <w:ind w:left="0" w:right="2540"/>
        <w:rPr>
          <w:rFonts w:ascii="Arial" w:hAnsi="Arial" w:cs="Arial"/>
          <w:color w:val="726E52"/>
          <w:sz w:val="32"/>
          <w:szCs w:val="32"/>
        </w:rPr>
      </w:pPr>
      <w:r w:rsidRPr="001C7E1C">
        <w:rPr>
          <w:rFonts w:ascii="Arial" w:hAnsi="Arial" w:cs="Arial"/>
          <w:color w:val="726E52"/>
          <w:sz w:val="32"/>
          <w:szCs w:val="32"/>
        </w:rPr>
        <w:t>What is plain packaging of tobacco?</w:t>
      </w:r>
    </w:p>
    <w:p w14:paraId="2F8F9EAB" w14:textId="032D7FFF" w:rsidR="00FE66FF" w:rsidRPr="00FE66FF" w:rsidRDefault="00FE66FF" w:rsidP="00D55B81">
      <w:pPr>
        <w:tabs>
          <w:tab w:val="left" w:pos="6663"/>
        </w:tabs>
        <w:ind w:right="2541"/>
        <w:jc w:val="both"/>
        <w:rPr>
          <w:rFonts w:cstheme="minorHAnsi"/>
        </w:rPr>
      </w:pPr>
      <w:r w:rsidRPr="00FE66FF">
        <w:rPr>
          <w:rFonts w:cstheme="minorHAnsi"/>
        </w:rPr>
        <w:t xml:space="preserve">Plain packaging of tobacco is a </w:t>
      </w:r>
      <w:r w:rsidR="00AA0D63" w:rsidRPr="00FE66FF">
        <w:rPr>
          <w:rFonts w:cstheme="minorHAnsi"/>
        </w:rPr>
        <w:t>common</w:t>
      </w:r>
      <w:r w:rsidR="00AA0D63">
        <w:rPr>
          <w:rFonts w:cstheme="minorHAnsi"/>
        </w:rPr>
        <w:t>-</w:t>
      </w:r>
      <w:r w:rsidRPr="00FE66FF">
        <w:rPr>
          <w:rFonts w:cstheme="minorHAnsi"/>
        </w:rPr>
        <w:t>sense policy that removes the promotional, marketing</w:t>
      </w:r>
      <w:r w:rsidR="00FC6ECF">
        <w:rPr>
          <w:rFonts w:cstheme="minorHAnsi"/>
        </w:rPr>
        <w:t>,</w:t>
      </w:r>
      <w:r w:rsidRPr="00FE66FF">
        <w:rPr>
          <w:rFonts w:cstheme="minorHAnsi"/>
        </w:rPr>
        <w:t xml:space="preserve"> and advertising features on packs of tobacco, but leaves the health warnings, tax stamps</w:t>
      </w:r>
      <w:r w:rsidR="00FC6ECF">
        <w:rPr>
          <w:rFonts w:cstheme="minorHAnsi"/>
        </w:rPr>
        <w:t>,</w:t>
      </w:r>
      <w:r w:rsidRPr="00FE66FF">
        <w:rPr>
          <w:rFonts w:cstheme="minorHAnsi"/>
        </w:rPr>
        <w:t xml:space="preserve"> and other features required by government. Most governments have increased the size of the health warnings at the same time as introducing plain packaging. The main elements of a plain packaging of tobacco policy are:</w:t>
      </w:r>
    </w:p>
    <w:p w14:paraId="33C6C729" w14:textId="62DB58A5" w:rsidR="00FE66FF" w:rsidRPr="00FE66FF" w:rsidRDefault="00FE66FF" w:rsidP="00D55B81">
      <w:pPr>
        <w:pStyle w:val="ListParagraph"/>
        <w:numPr>
          <w:ilvl w:val="0"/>
          <w:numId w:val="1"/>
        </w:numPr>
        <w:tabs>
          <w:tab w:val="left" w:pos="6663"/>
        </w:tabs>
        <w:ind w:right="2541"/>
        <w:jc w:val="both"/>
        <w:rPr>
          <w:rFonts w:cstheme="minorHAnsi"/>
        </w:rPr>
      </w:pPr>
      <w:r w:rsidRPr="00FE66FF">
        <w:rPr>
          <w:rFonts w:cstheme="minorHAnsi"/>
        </w:rPr>
        <w:t xml:space="preserve">packaging must be a </w:t>
      </w:r>
      <w:r w:rsidRPr="00FE66FF">
        <w:rPr>
          <w:rFonts w:cstheme="minorHAnsi"/>
          <w:b/>
        </w:rPr>
        <w:t>uniform plain unattractive color</w:t>
      </w:r>
      <w:r w:rsidRPr="00FE66FF">
        <w:rPr>
          <w:rFonts w:cstheme="minorHAnsi"/>
        </w:rPr>
        <w:t xml:space="preserve"> usually a dull brown/green</w:t>
      </w:r>
      <w:r w:rsidR="004F7DA3">
        <w:rPr>
          <w:rFonts w:cstheme="minorHAnsi"/>
        </w:rPr>
        <w:t>;</w:t>
      </w:r>
      <w:r w:rsidRPr="00FE66FF">
        <w:rPr>
          <w:rFonts w:cstheme="minorHAnsi"/>
        </w:rPr>
        <w:t xml:space="preserve"> </w:t>
      </w:r>
    </w:p>
    <w:p w14:paraId="6BD33CD8" w14:textId="19CD2F3A" w:rsidR="00FE66FF" w:rsidRPr="00FE66FF" w:rsidRDefault="00E7738C" w:rsidP="00D55B81">
      <w:pPr>
        <w:pStyle w:val="ListParagraph"/>
        <w:numPr>
          <w:ilvl w:val="0"/>
          <w:numId w:val="1"/>
        </w:numPr>
        <w:tabs>
          <w:tab w:val="left" w:pos="6663"/>
        </w:tabs>
        <w:ind w:right="2541"/>
        <w:jc w:val="both"/>
        <w:rPr>
          <w:rFonts w:cstheme="minorHAnsi"/>
        </w:rPr>
      </w:pPr>
      <w:r w:rsidRPr="00FE66FF">
        <w:rPr>
          <w:rFonts w:cstheme="minorHAnsi"/>
          <w:noProof/>
          <w:lang w:val="en-US"/>
        </w:rPr>
        <w:drawing>
          <wp:anchor distT="0" distB="0" distL="114300" distR="114300" simplePos="0" relativeHeight="251661824" behindDoc="0" locked="0" layoutInCell="1" allowOverlap="1" wp14:anchorId="13886DBA" wp14:editId="73E640B9">
            <wp:simplePos x="0" y="0"/>
            <wp:positionH relativeFrom="column">
              <wp:posOffset>5410200</wp:posOffset>
            </wp:positionH>
            <wp:positionV relativeFrom="paragraph">
              <wp:posOffset>240030</wp:posOffset>
            </wp:positionV>
            <wp:extent cx="1313041" cy="1752600"/>
            <wp:effectExtent l="0" t="0" r="1905" b="0"/>
            <wp:wrapNone/>
            <wp:docPr id="4" name="Picture 4" descr="C:\Users\Reckford\Documents\TFK\SPOT international\Toolkit\images\VisuelGauloi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ckford\Documents\TFK\SPOT international\Toolkit\images\VisuelGaulois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5554" cy="1755954"/>
                    </a:xfrm>
                    <a:prstGeom prst="rect">
                      <a:avLst/>
                    </a:prstGeom>
                    <a:noFill/>
                    <a:ln>
                      <a:noFill/>
                    </a:ln>
                  </pic:spPr>
                </pic:pic>
              </a:graphicData>
            </a:graphic>
            <wp14:sizeRelH relativeFrom="page">
              <wp14:pctWidth>0</wp14:pctWidth>
            </wp14:sizeRelH>
            <wp14:sizeRelV relativeFrom="page">
              <wp14:pctHeight>0</wp14:pctHeight>
            </wp14:sizeRelV>
          </wp:anchor>
        </w:drawing>
      </w:r>
      <w:r w:rsidR="00FE66FF" w:rsidRPr="00FE66FF">
        <w:rPr>
          <w:rFonts w:cstheme="minorHAnsi"/>
        </w:rPr>
        <w:t xml:space="preserve">all packs must be a </w:t>
      </w:r>
      <w:r w:rsidR="00FE66FF" w:rsidRPr="00FE66FF">
        <w:rPr>
          <w:rFonts w:cstheme="minorHAnsi"/>
          <w:b/>
        </w:rPr>
        <w:t>standard shape, size</w:t>
      </w:r>
      <w:r w:rsidR="00FE66FF" w:rsidRPr="00FE66FF">
        <w:rPr>
          <w:rFonts w:cstheme="minorHAnsi"/>
        </w:rPr>
        <w:t xml:space="preserve"> </w:t>
      </w:r>
      <w:r w:rsidR="00FE66FF" w:rsidRPr="00FE66FF">
        <w:rPr>
          <w:rFonts w:cstheme="minorHAnsi"/>
          <w:b/>
        </w:rPr>
        <w:t>and texture</w:t>
      </w:r>
      <w:r w:rsidR="00FE66FF" w:rsidRPr="00B0421A">
        <w:rPr>
          <w:rFonts w:cstheme="minorHAnsi"/>
        </w:rPr>
        <w:t>,</w:t>
      </w:r>
      <w:r w:rsidR="00FE66FF" w:rsidRPr="00FE66FF">
        <w:rPr>
          <w:rFonts w:cstheme="minorHAnsi"/>
        </w:rPr>
        <w:t xml:space="preserve"> and </w:t>
      </w:r>
      <w:r w:rsidR="00DC705B">
        <w:rPr>
          <w:rFonts w:cstheme="minorHAnsi"/>
        </w:rPr>
        <w:t xml:space="preserve">be </w:t>
      </w:r>
      <w:r w:rsidR="00FE66FF" w:rsidRPr="00FE66FF">
        <w:rPr>
          <w:rFonts w:cstheme="minorHAnsi"/>
        </w:rPr>
        <w:t xml:space="preserve">made </w:t>
      </w:r>
      <w:r w:rsidR="00DC705B">
        <w:rPr>
          <w:rFonts w:cstheme="minorHAnsi"/>
        </w:rPr>
        <w:t>from cardboard;</w:t>
      </w:r>
    </w:p>
    <w:p w14:paraId="21D21937" w14:textId="22A835AD" w:rsidR="00FE66FF" w:rsidRPr="00FE66FF" w:rsidRDefault="00FC6ECF" w:rsidP="004E6CEA">
      <w:pPr>
        <w:pStyle w:val="ListParagraph"/>
        <w:numPr>
          <w:ilvl w:val="0"/>
          <w:numId w:val="1"/>
        </w:numPr>
        <w:tabs>
          <w:tab w:val="left" w:pos="6663"/>
        </w:tabs>
        <w:ind w:left="357" w:right="2540" w:hanging="357"/>
        <w:jc w:val="both"/>
        <w:rPr>
          <w:rFonts w:cstheme="minorHAnsi"/>
        </w:rPr>
      </w:pPr>
      <w:r>
        <w:rPr>
          <w:rFonts w:cstheme="minorHAnsi"/>
          <w:b/>
        </w:rPr>
        <w:t>n</w:t>
      </w:r>
      <w:r w:rsidRPr="00FE66FF">
        <w:rPr>
          <w:rFonts w:cstheme="minorHAnsi"/>
          <w:b/>
        </w:rPr>
        <w:t xml:space="preserve">o </w:t>
      </w:r>
      <w:r w:rsidR="00FE66FF" w:rsidRPr="00FE66FF">
        <w:rPr>
          <w:rFonts w:cstheme="minorHAnsi"/>
          <w:b/>
        </w:rPr>
        <w:t>branding, logos</w:t>
      </w:r>
      <w:r w:rsidR="006943B6">
        <w:rPr>
          <w:rFonts w:cstheme="minorHAnsi"/>
          <w:b/>
        </w:rPr>
        <w:t>,</w:t>
      </w:r>
      <w:r w:rsidR="00FE66FF" w:rsidRPr="00FE66FF">
        <w:rPr>
          <w:rFonts w:cstheme="minorHAnsi"/>
          <w:b/>
        </w:rPr>
        <w:t xml:space="preserve"> or other promotional elements</w:t>
      </w:r>
      <w:r w:rsidR="00FE66FF" w:rsidRPr="00FE66FF">
        <w:rPr>
          <w:rFonts w:cstheme="minorHAnsi"/>
        </w:rPr>
        <w:t xml:space="preserve"> can appear on the packaging or on individual sticks</w:t>
      </w:r>
      <w:r w:rsidR="004F7DA3">
        <w:rPr>
          <w:rFonts w:cstheme="minorHAnsi"/>
        </w:rPr>
        <w:t>; and</w:t>
      </w:r>
      <w:r w:rsidR="00FE66FF" w:rsidRPr="00FE66FF">
        <w:rPr>
          <w:rFonts w:cstheme="minorHAnsi"/>
        </w:rPr>
        <w:t xml:space="preserve"> </w:t>
      </w:r>
    </w:p>
    <w:p w14:paraId="4968947C" w14:textId="03841A78" w:rsidR="00DC705B" w:rsidRPr="00DC705B" w:rsidRDefault="00FC6ECF" w:rsidP="00D55B81">
      <w:pPr>
        <w:pStyle w:val="ListParagraph"/>
        <w:numPr>
          <w:ilvl w:val="0"/>
          <w:numId w:val="1"/>
        </w:numPr>
        <w:tabs>
          <w:tab w:val="left" w:pos="6663"/>
        </w:tabs>
        <w:ind w:right="2541"/>
        <w:jc w:val="both"/>
        <w:rPr>
          <w:rFonts w:ascii="Arial" w:hAnsi="Arial" w:cs="Arial"/>
          <w:sz w:val="21"/>
          <w:szCs w:val="21"/>
        </w:rPr>
      </w:pPr>
      <w:r w:rsidRPr="00DC705B">
        <w:rPr>
          <w:rFonts w:cstheme="minorHAnsi"/>
        </w:rPr>
        <w:t xml:space="preserve">the </w:t>
      </w:r>
      <w:r w:rsidR="00FE66FF" w:rsidRPr="00DC705B">
        <w:rPr>
          <w:rFonts w:cstheme="minorHAnsi"/>
        </w:rPr>
        <w:t xml:space="preserve">brand and product name can appear </w:t>
      </w:r>
      <w:r w:rsidR="00DC705B" w:rsidRPr="00DC705B">
        <w:rPr>
          <w:rFonts w:cstheme="minorHAnsi"/>
        </w:rPr>
        <w:t>on each pack</w:t>
      </w:r>
      <w:r w:rsidR="00FE66FF" w:rsidRPr="00DC705B">
        <w:rPr>
          <w:rFonts w:cstheme="minorHAnsi"/>
        </w:rPr>
        <w:t>, as well as the quantity of product in the pack and manufacturer’s contact details,</w:t>
      </w:r>
      <w:r w:rsidR="00DC705B" w:rsidRPr="00DC705B">
        <w:rPr>
          <w:rFonts w:cstheme="minorHAnsi"/>
        </w:rPr>
        <w:t xml:space="preserve"> but</w:t>
      </w:r>
      <w:r w:rsidR="00FE66FF" w:rsidRPr="00DC705B">
        <w:rPr>
          <w:rFonts w:cstheme="minorHAnsi"/>
        </w:rPr>
        <w:t xml:space="preserve"> in a standard </w:t>
      </w:r>
      <w:r w:rsidR="00AC7AB7">
        <w:rPr>
          <w:rFonts w:cstheme="minorHAnsi"/>
        </w:rPr>
        <w:t xml:space="preserve">size, </w:t>
      </w:r>
      <w:r w:rsidR="00FE66FF" w:rsidRPr="00DC705B">
        <w:rPr>
          <w:rFonts w:cstheme="minorHAnsi"/>
        </w:rPr>
        <w:t>color and typeface</w:t>
      </w:r>
      <w:r w:rsidR="00DC705B" w:rsidRPr="00DC705B">
        <w:rPr>
          <w:rFonts w:cstheme="minorHAnsi"/>
        </w:rPr>
        <w:t>.</w:t>
      </w:r>
    </w:p>
    <w:p w14:paraId="619C6923" w14:textId="4C152506" w:rsidR="00FE66FF" w:rsidRDefault="00FE66FF" w:rsidP="00D55B81">
      <w:pPr>
        <w:pStyle w:val="ListParagraph"/>
        <w:numPr>
          <w:ilvl w:val="0"/>
          <w:numId w:val="1"/>
        </w:numPr>
        <w:tabs>
          <w:tab w:val="left" w:pos="6663"/>
        </w:tabs>
        <w:ind w:right="2541"/>
        <w:jc w:val="both"/>
        <w:rPr>
          <w:rFonts w:ascii="Arial" w:hAnsi="Arial" w:cs="Arial"/>
          <w:sz w:val="21"/>
          <w:szCs w:val="21"/>
        </w:rPr>
      </w:pPr>
      <w:r w:rsidRPr="00DC705B">
        <w:rPr>
          <w:rFonts w:cstheme="minorHAnsi"/>
        </w:rPr>
        <w:t>Health warnings, tax stamps and other government requirements remain</w:t>
      </w:r>
      <w:r w:rsidRPr="00DC705B">
        <w:rPr>
          <w:rFonts w:ascii="Arial" w:hAnsi="Arial" w:cs="Arial"/>
          <w:sz w:val="21"/>
          <w:szCs w:val="21"/>
        </w:rPr>
        <w:t>.</w:t>
      </w:r>
    </w:p>
    <w:p w14:paraId="623A380F" w14:textId="77777777" w:rsidR="00DC705B" w:rsidRPr="00DC705B" w:rsidRDefault="00DC705B" w:rsidP="00DC705B">
      <w:pPr>
        <w:pStyle w:val="ListParagraph"/>
        <w:tabs>
          <w:tab w:val="left" w:pos="6663"/>
        </w:tabs>
        <w:ind w:left="360" w:right="2541"/>
        <w:jc w:val="both"/>
        <w:rPr>
          <w:rFonts w:ascii="Arial" w:hAnsi="Arial" w:cs="Arial"/>
          <w:sz w:val="21"/>
          <w:szCs w:val="21"/>
        </w:rPr>
      </w:pPr>
    </w:p>
    <w:p w14:paraId="487A457F" w14:textId="5F2560EB" w:rsidR="00FE66FF" w:rsidRPr="001C7E1C" w:rsidRDefault="00FE66FF" w:rsidP="00D55B81">
      <w:pPr>
        <w:pStyle w:val="ListParagraph"/>
        <w:tabs>
          <w:tab w:val="left" w:pos="6663"/>
        </w:tabs>
        <w:spacing w:before="240" w:after="0"/>
        <w:ind w:left="0" w:right="2541"/>
        <w:rPr>
          <w:rFonts w:ascii="Arial" w:hAnsi="Arial" w:cs="Arial"/>
          <w:color w:val="726E52"/>
          <w:sz w:val="32"/>
          <w:szCs w:val="32"/>
        </w:rPr>
      </w:pPr>
      <w:r w:rsidRPr="001C7E1C">
        <w:rPr>
          <w:rFonts w:ascii="Arial" w:hAnsi="Arial" w:cs="Arial"/>
          <w:color w:val="726E52"/>
          <w:sz w:val="32"/>
          <w:szCs w:val="32"/>
        </w:rPr>
        <w:t xml:space="preserve">Plain or </w:t>
      </w:r>
      <w:r w:rsidR="006943B6">
        <w:rPr>
          <w:rFonts w:ascii="Arial" w:hAnsi="Arial" w:cs="Arial"/>
          <w:color w:val="726E52"/>
          <w:sz w:val="32"/>
          <w:szCs w:val="32"/>
        </w:rPr>
        <w:t>s</w:t>
      </w:r>
      <w:r w:rsidR="006943B6" w:rsidRPr="001C7E1C">
        <w:rPr>
          <w:rFonts w:ascii="Arial" w:hAnsi="Arial" w:cs="Arial"/>
          <w:color w:val="726E52"/>
          <w:sz w:val="32"/>
          <w:szCs w:val="32"/>
        </w:rPr>
        <w:t>tandardi</w:t>
      </w:r>
      <w:r w:rsidR="006943B6">
        <w:rPr>
          <w:rFonts w:ascii="Arial" w:hAnsi="Arial" w:cs="Arial"/>
          <w:color w:val="726E52"/>
          <w:sz w:val="32"/>
          <w:szCs w:val="32"/>
        </w:rPr>
        <w:t>z</w:t>
      </w:r>
      <w:r w:rsidR="006943B6" w:rsidRPr="001C7E1C">
        <w:rPr>
          <w:rFonts w:ascii="Arial" w:hAnsi="Arial" w:cs="Arial"/>
          <w:color w:val="726E52"/>
          <w:sz w:val="32"/>
          <w:szCs w:val="32"/>
        </w:rPr>
        <w:t>ed</w:t>
      </w:r>
      <w:r w:rsidRPr="001C7E1C">
        <w:rPr>
          <w:rFonts w:ascii="Arial" w:hAnsi="Arial" w:cs="Arial"/>
          <w:color w:val="726E52"/>
          <w:sz w:val="32"/>
          <w:szCs w:val="32"/>
        </w:rPr>
        <w:t>?</w:t>
      </w:r>
    </w:p>
    <w:p w14:paraId="15C8F48D" w14:textId="250E27E9" w:rsidR="00FE66FF" w:rsidRPr="00FE66FF" w:rsidRDefault="004E6CEA" w:rsidP="00D55B81">
      <w:pPr>
        <w:tabs>
          <w:tab w:val="left" w:pos="6663"/>
        </w:tabs>
        <w:ind w:right="2541"/>
        <w:jc w:val="both"/>
        <w:rPr>
          <w:rFonts w:cstheme="minorHAnsi"/>
        </w:rPr>
      </w:pPr>
      <w:r w:rsidRPr="00FE66FF">
        <w:rPr>
          <w:rFonts w:cstheme="minorHAnsi"/>
          <w:noProof/>
          <w:lang w:val="en-US"/>
        </w:rPr>
        <mc:AlternateContent>
          <mc:Choice Requires="wps">
            <w:drawing>
              <wp:anchor distT="45720" distB="45720" distL="114300" distR="114300" simplePos="0" relativeHeight="251664896" behindDoc="0" locked="0" layoutInCell="1" allowOverlap="1" wp14:anchorId="634DF656" wp14:editId="542E2C95">
                <wp:simplePos x="0" y="0"/>
                <wp:positionH relativeFrom="column">
                  <wp:posOffset>5461000</wp:posOffset>
                </wp:positionH>
                <wp:positionV relativeFrom="paragraph">
                  <wp:posOffset>325829</wp:posOffset>
                </wp:positionV>
                <wp:extent cx="1225550" cy="7112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711200"/>
                        </a:xfrm>
                        <a:prstGeom prst="rect">
                          <a:avLst/>
                        </a:prstGeom>
                        <a:solidFill>
                          <a:schemeClr val="bg1"/>
                        </a:solidFill>
                        <a:ln w="12700">
                          <a:solidFill>
                            <a:srgbClr val="666633"/>
                          </a:solidFill>
                          <a:miter lim="800000"/>
                          <a:headEnd/>
                          <a:tailEnd/>
                        </a:ln>
                      </wps:spPr>
                      <wps:txbx>
                        <w:txbxContent>
                          <w:p w14:paraId="58D947CB" w14:textId="55BA6CC0" w:rsidR="000D5380" w:rsidRPr="00E7738C" w:rsidRDefault="000D5380" w:rsidP="00FE66FF">
                            <w:pPr>
                              <w:rPr>
                                <w:sz w:val="18"/>
                                <w:szCs w:val="18"/>
                              </w:rPr>
                            </w:pPr>
                            <w:r w:rsidRPr="00E7738C">
                              <w:rPr>
                                <w:sz w:val="18"/>
                                <w:szCs w:val="18"/>
                              </w:rPr>
                              <w:t xml:space="preserve">Examples of </w:t>
                            </w:r>
                            <w:r w:rsidR="00DC705B">
                              <w:rPr>
                                <w:sz w:val="18"/>
                                <w:szCs w:val="18"/>
                              </w:rPr>
                              <w:t xml:space="preserve">Gauloises </w:t>
                            </w:r>
                            <w:r w:rsidRPr="00E7738C">
                              <w:rPr>
                                <w:sz w:val="18"/>
                                <w:szCs w:val="18"/>
                              </w:rPr>
                              <w:t>cigarette packets in France</w:t>
                            </w:r>
                            <w:r>
                              <w:rPr>
                                <w:sz w:val="18"/>
                                <w:szCs w:val="18"/>
                              </w:rPr>
                              <w:t xml:space="preserve"> </w:t>
                            </w:r>
                            <w:r w:rsidRPr="00E7738C">
                              <w:rPr>
                                <w:sz w:val="18"/>
                                <w:szCs w:val="18"/>
                              </w:rPr>
                              <w:t xml:space="preserve">before and after plain packaging.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DF656" id="_x0000_t202" coordsize="21600,21600" o:spt="202" path="m,l,21600r21600,l21600,xe">
                <v:stroke joinstyle="miter"/>
                <v:path gradientshapeok="t" o:connecttype="rect"/>
              </v:shapetype>
              <v:shape id="Text Box 2" o:spid="_x0000_s1027" type="#_x0000_t202" style="position:absolute;left:0;text-align:left;margin-left:430pt;margin-top:25.65pt;width:96.5pt;height:56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" fillcolor="white [3212]" strokecolor="#663" strokeweight="1pt">
                <v:textbox>
                  <w:txbxContent>
                    <w:p w14:paraId="58D947CB" w14:textId="55BA6CC0" w:rsidR="000D5380" w:rsidRPr="00E7738C" w:rsidRDefault="000D5380" w:rsidP="00FE66FF">
                      <w:pPr>
                        <w:rPr>
                          <w:sz w:val="18"/>
                          <w:szCs w:val="18"/>
                        </w:rPr>
                      </w:pPr>
                      <w:r w:rsidRPr="00E7738C">
                        <w:rPr>
                          <w:sz w:val="18"/>
                          <w:szCs w:val="18"/>
                        </w:rPr>
                        <w:t xml:space="preserve">Examples of </w:t>
                      </w:r>
                      <w:r w:rsidR="00DC705B">
                        <w:rPr>
                          <w:sz w:val="18"/>
                          <w:szCs w:val="18"/>
                        </w:rPr>
                        <w:t xml:space="preserve">Gauloises </w:t>
                      </w:r>
                      <w:r w:rsidRPr="00E7738C">
                        <w:rPr>
                          <w:sz w:val="18"/>
                          <w:szCs w:val="18"/>
                        </w:rPr>
                        <w:t>cigarette packets in France</w:t>
                      </w:r>
                      <w:r>
                        <w:rPr>
                          <w:sz w:val="18"/>
                          <w:szCs w:val="18"/>
                        </w:rPr>
                        <w:t xml:space="preserve"> </w:t>
                      </w:r>
                      <w:r w:rsidRPr="00E7738C">
                        <w:rPr>
                          <w:sz w:val="18"/>
                          <w:szCs w:val="18"/>
                        </w:rPr>
                        <w:t xml:space="preserve">before and after plain packaging. </w:t>
                      </w:r>
                    </w:p>
                  </w:txbxContent>
                </v:textbox>
                <w10:wrap type="square"/>
              </v:shape>
            </w:pict>
          </mc:Fallback>
        </mc:AlternateContent>
      </w:r>
      <w:r w:rsidR="00FE66FF" w:rsidRPr="00FE66FF">
        <w:rPr>
          <w:rFonts w:cstheme="minorHAnsi"/>
        </w:rPr>
        <w:t xml:space="preserve">The most commonly used term for the policy is </w:t>
      </w:r>
      <w:r w:rsidR="006943B6">
        <w:rPr>
          <w:rFonts w:cstheme="minorHAnsi"/>
        </w:rPr>
        <w:t>“</w:t>
      </w:r>
      <w:r w:rsidR="00FE66FF" w:rsidRPr="00FE66FF">
        <w:rPr>
          <w:rFonts w:cstheme="minorHAnsi"/>
        </w:rPr>
        <w:t>plain packaging</w:t>
      </w:r>
      <w:r w:rsidR="006943B6">
        <w:rPr>
          <w:rFonts w:cstheme="minorHAnsi"/>
        </w:rPr>
        <w:t>”</w:t>
      </w:r>
      <w:r w:rsidR="00FE66FF" w:rsidRPr="00FE66FF">
        <w:rPr>
          <w:rFonts w:cstheme="minorHAnsi"/>
        </w:rPr>
        <w:t xml:space="preserve"> </w:t>
      </w:r>
      <w:r w:rsidR="004F7DA3">
        <w:rPr>
          <w:rFonts w:cstheme="minorHAnsi"/>
        </w:rPr>
        <w:t>—</w:t>
      </w:r>
      <w:r w:rsidR="00FE66FF" w:rsidRPr="00FE66FF">
        <w:rPr>
          <w:rFonts w:cstheme="minorHAnsi"/>
        </w:rPr>
        <w:t xml:space="preserve"> this is the term used by Australia and the WHO. But because packs retain the health warnings</w:t>
      </w:r>
      <w:r w:rsidR="006943B6">
        <w:rPr>
          <w:rFonts w:cstheme="minorHAnsi"/>
        </w:rPr>
        <w:t>,</w:t>
      </w:r>
      <w:r w:rsidR="00FE66FF" w:rsidRPr="00FE66FF">
        <w:rPr>
          <w:rFonts w:cstheme="minorHAnsi"/>
        </w:rPr>
        <w:t xml:space="preserve"> they are not literally </w:t>
      </w:r>
      <w:r w:rsidR="006943B6">
        <w:rPr>
          <w:rFonts w:cstheme="minorHAnsi"/>
        </w:rPr>
        <w:t>“</w:t>
      </w:r>
      <w:r w:rsidR="00FE66FF" w:rsidRPr="00FE66FF">
        <w:rPr>
          <w:rFonts w:cstheme="minorHAnsi"/>
        </w:rPr>
        <w:t>plain,</w:t>
      </w:r>
      <w:r w:rsidR="006943B6">
        <w:rPr>
          <w:rFonts w:cstheme="minorHAnsi"/>
        </w:rPr>
        <w:t>”</w:t>
      </w:r>
      <w:r w:rsidR="00FE66FF" w:rsidRPr="00FE66FF">
        <w:rPr>
          <w:rFonts w:cstheme="minorHAnsi"/>
        </w:rPr>
        <w:t xml:space="preserve"> and the industry has tried to spread confusion about this. In the UK and Ireland</w:t>
      </w:r>
      <w:r w:rsidR="006943B6">
        <w:rPr>
          <w:rFonts w:cstheme="minorHAnsi"/>
        </w:rPr>
        <w:t>,</w:t>
      </w:r>
      <w:r w:rsidR="00FE66FF" w:rsidRPr="00FE66FF">
        <w:rPr>
          <w:rFonts w:cstheme="minorHAnsi"/>
        </w:rPr>
        <w:t xml:space="preserve"> the term used is </w:t>
      </w:r>
      <w:r w:rsidR="006943B6">
        <w:rPr>
          <w:rFonts w:cstheme="minorHAnsi"/>
        </w:rPr>
        <w:t>“</w:t>
      </w:r>
      <w:r w:rsidR="006943B6" w:rsidRPr="00FE66FF">
        <w:rPr>
          <w:rFonts w:cstheme="minorHAnsi"/>
          <w:b/>
        </w:rPr>
        <w:t>standardi</w:t>
      </w:r>
      <w:r w:rsidR="006943B6">
        <w:rPr>
          <w:rFonts w:cstheme="minorHAnsi"/>
          <w:b/>
        </w:rPr>
        <w:t>z</w:t>
      </w:r>
      <w:r w:rsidR="006943B6" w:rsidRPr="00FE66FF">
        <w:rPr>
          <w:rFonts w:cstheme="minorHAnsi"/>
          <w:b/>
        </w:rPr>
        <w:t xml:space="preserve">ed </w:t>
      </w:r>
      <w:r w:rsidR="00FE66FF" w:rsidRPr="00FE66FF">
        <w:rPr>
          <w:rFonts w:cstheme="minorHAnsi"/>
          <w:b/>
        </w:rPr>
        <w:t>packaging</w:t>
      </w:r>
      <w:r w:rsidR="006943B6" w:rsidRPr="00B0421A">
        <w:rPr>
          <w:rFonts w:cstheme="minorHAnsi"/>
        </w:rPr>
        <w:t>.</w:t>
      </w:r>
      <w:r w:rsidR="00FE66FF" w:rsidRPr="00B0421A">
        <w:rPr>
          <w:rFonts w:cstheme="minorHAnsi"/>
        </w:rPr>
        <w:t>’</w:t>
      </w:r>
      <w:r w:rsidR="006943B6" w:rsidRPr="00B0421A">
        <w:rPr>
          <w:rFonts w:cstheme="minorHAnsi"/>
        </w:rPr>
        <w:t>”</w:t>
      </w:r>
      <w:r w:rsidR="00FE66FF" w:rsidRPr="00FE66FF">
        <w:rPr>
          <w:rFonts w:cstheme="minorHAnsi"/>
        </w:rPr>
        <w:t xml:space="preserve"> In France</w:t>
      </w:r>
      <w:r w:rsidR="006943B6">
        <w:rPr>
          <w:rFonts w:cstheme="minorHAnsi"/>
        </w:rPr>
        <w:t>,</w:t>
      </w:r>
      <w:r w:rsidR="00FE66FF" w:rsidRPr="00FE66FF">
        <w:rPr>
          <w:rFonts w:cstheme="minorHAnsi"/>
        </w:rPr>
        <w:t xml:space="preserve"> the term used is </w:t>
      </w:r>
      <w:r w:rsidR="006943B6">
        <w:rPr>
          <w:rFonts w:cstheme="minorHAnsi"/>
        </w:rPr>
        <w:t>“</w:t>
      </w:r>
      <w:r w:rsidR="00FE66FF" w:rsidRPr="00FE66FF">
        <w:rPr>
          <w:rFonts w:cstheme="minorHAnsi"/>
          <w:b/>
        </w:rPr>
        <w:t>neutral packaging</w:t>
      </w:r>
      <w:r w:rsidR="006943B6" w:rsidRPr="00DC705B">
        <w:rPr>
          <w:rFonts w:cstheme="minorHAnsi"/>
        </w:rPr>
        <w:t>”</w:t>
      </w:r>
      <w:r w:rsidR="00FE66FF" w:rsidRPr="00FE66FF">
        <w:rPr>
          <w:rFonts w:cstheme="minorHAnsi"/>
        </w:rPr>
        <w:t xml:space="preserve"> and elsewhere governments have called it </w:t>
      </w:r>
      <w:r w:rsidR="006943B6">
        <w:rPr>
          <w:rFonts w:cstheme="minorHAnsi"/>
        </w:rPr>
        <w:t>“</w:t>
      </w:r>
      <w:r w:rsidR="00FE66FF" w:rsidRPr="00FE66FF">
        <w:rPr>
          <w:rFonts w:cstheme="minorHAnsi"/>
          <w:b/>
        </w:rPr>
        <w:t>generic packaging</w:t>
      </w:r>
      <w:r w:rsidR="006943B6" w:rsidRPr="00DC705B">
        <w:rPr>
          <w:rFonts w:cstheme="minorHAnsi"/>
        </w:rPr>
        <w:t>.</w:t>
      </w:r>
      <w:r w:rsidR="006943B6" w:rsidRPr="00222765">
        <w:rPr>
          <w:rFonts w:cstheme="minorHAnsi"/>
        </w:rPr>
        <w:t>”</w:t>
      </w:r>
      <w:r w:rsidR="00FE66FF" w:rsidRPr="00FE66FF">
        <w:rPr>
          <w:rFonts w:cstheme="minorHAnsi"/>
        </w:rPr>
        <w:t xml:space="preserve"> These are all different terms for the same policy. </w:t>
      </w:r>
    </w:p>
    <w:p w14:paraId="595A8FC6" w14:textId="26490B12" w:rsidR="00FE66FF" w:rsidRPr="001C7E1C" w:rsidRDefault="004E6CEA" w:rsidP="00D55B81">
      <w:pPr>
        <w:pStyle w:val="ListParagraph"/>
        <w:tabs>
          <w:tab w:val="left" w:pos="6663"/>
        </w:tabs>
        <w:spacing w:before="240" w:after="0"/>
        <w:ind w:left="0" w:right="2541"/>
        <w:rPr>
          <w:rFonts w:ascii="Arial" w:hAnsi="Arial" w:cs="Arial"/>
          <w:color w:val="726E52"/>
          <w:sz w:val="32"/>
          <w:szCs w:val="32"/>
        </w:rPr>
      </w:pPr>
      <w:r w:rsidRPr="001C7E1C">
        <w:rPr>
          <w:rFonts w:cstheme="minorHAnsi"/>
          <w:b/>
          <w:noProof/>
          <w:color w:val="726E52"/>
          <w:lang w:val="en-US"/>
        </w:rPr>
        <mc:AlternateContent>
          <mc:Choice Requires="wps">
            <w:drawing>
              <wp:anchor distT="45720" distB="45720" distL="114300" distR="114300" simplePos="0" relativeHeight="251666944" behindDoc="0" locked="0" layoutInCell="1" allowOverlap="1" wp14:anchorId="5845AF8A" wp14:editId="02636657">
                <wp:simplePos x="0" y="0"/>
                <wp:positionH relativeFrom="column">
                  <wp:posOffset>5397500</wp:posOffset>
                </wp:positionH>
                <wp:positionV relativeFrom="paragraph">
                  <wp:posOffset>221615</wp:posOffset>
                </wp:positionV>
                <wp:extent cx="1308100" cy="1816100"/>
                <wp:effectExtent l="0" t="0" r="635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1816100"/>
                        </a:xfrm>
                        <a:prstGeom prst="rect">
                          <a:avLst/>
                        </a:prstGeom>
                        <a:solidFill>
                          <a:schemeClr val="tx2">
                            <a:lumMod val="20000"/>
                            <a:lumOff val="80000"/>
                          </a:schemeClr>
                        </a:solidFill>
                        <a:ln w="9525">
                          <a:noFill/>
                          <a:miter lim="800000"/>
                          <a:headEnd/>
                          <a:tailEnd/>
                        </a:ln>
                      </wps:spPr>
                      <wps:txbx>
                        <w:txbxContent>
                          <w:p w14:paraId="0BA43617" w14:textId="6BEAE075" w:rsidR="000D5380" w:rsidRDefault="000D5380" w:rsidP="00D55B81">
                            <w:r>
                              <w:t>AUSTRALIA “IS ACQUIRING OUR BILLBOARD”</w:t>
                            </w:r>
                          </w:p>
                          <w:p w14:paraId="35BBC182" w14:textId="77777777" w:rsidR="000D5380" w:rsidRPr="00D55B81" w:rsidRDefault="000D5380" w:rsidP="00D55B81">
                            <w:pPr>
                              <w:rPr>
                                <w:sz w:val="18"/>
                                <w:szCs w:val="18"/>
                              </w:rPr>
                            </w:pPr>
                            <w:r w:rsidRPr="00D55B81">
                              <w:rPr>
                                <w:sz w:val="18"/>
                                <w:szCs w:val="18"/>
                              </w:rPr>
                              <w:t>In the legal claim in the Australian High Court, counsel for Japan Tobacco International argued that tobacco packaging acted like an advertising billboard.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5AF8A" id="_x0000_s1028" type="#_x0000_t202" style="position:absolute;margin-left:425pt;margin-top:17.45pt;width:103pt;height:143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" fillcolor="#d5dce4 [671]" stroked="f">
                <v:textbox>
                  <w:txbxContent>
                    <w:p w14:paraId="0BA43617" w14:textId="6BEAE075" w:rsidR="000D5380" w:rsidRDefault="000D5380" w:rsidP="00D55B81">
                      <w:r>
                        <w:t>AUSTRALIA “IS ACQUIRING OUR BILLBOARD”</w:t>
                      </w:r>
                    </w:p>
                    <w:p w14:paraId="35BBC182" w14:textId="77777777" w:rsidR="000D5380" w:rsidRPr="00D55B81" w:rsidRDefault="000D5380" w:rsidP="00D55B81">
                      <w:pPr>
                        <w:rPr>
                          <w:sz w:val="18"/>
                          <w:szCs w:val="18"/>
                        </w:rPr>
                      </w:pPr>
                      <w:r w:rsidRPr="00D55B81">
                        <w:rPr>
                          <w:sz w:val="18"/>
                          <w:szCs w:val="18"/>
                        </w:rPr>
                        <w:t>In the legal claim in the Australian High Court, counsel for Japan Tobacco International argued that tobacco packaging acted like an advertising billboard.</w:t>
                      </w:r>
                    </w:p>
                  </w:txbxContent>
                </v:textbox>
                <w10:wrap type="square"/>
              </v:shape>
            </w:pict>
          </mc:Fallback>
        </mc:AlternateContent>
      </w:r>
      <w:r w:rsidR="00FE66FF" w:rsidRPr="001C7E1C">
        <w:rPr>
          <w:rFonts w:ascii="Arial" w:hAnsi="Arial" w:cs="Arial"/>
          <w:color w:val="726E52"/>
          <w:sz w:val="32"/>
          <w:szCs w:val="32"/>
        </w:rPr>
        <w:t xml:space="preserve">Why is it needed? </w:t>
      </w:r>
    </w:p>
    <w:p w14:paraId="024A94DF" w14:textId="30C9B27E" w:rsidR="00FE66FF" w:rsidRPr="00FE66FF" w:rsidRDefault="00FE66FF" w:rsidP="00D55B81">
      <w:pPr>
        <w:tabs>
          <w:tab w:val="left" w:pos="6663"/>
        </w:tabs>
        <w:ind w:right="2541"/>
        <w:jc w:val="both"/>
        <w:rPr>
          <w:rFonts w:cstheme="minorHAnsi"/>
          <w:b/>
        </w:rPr>
      </w:pPr>
      <w:r w:rsidRPr="00FE66FF">
        <w:rPr>
          <w:rFonts w:cstheme="minorHAnsi"/>
          <w:b/>
        </w:rPr>
        <w:t>Packaging for all products can act as a form of promotion, marketing</w:t>
      </w:r>
      <w:r w:rsidR="006943B6">
        <w:rPr>
          <w:rFonts w:cstheme="minorHAnsi"/>
          <w:b/>
        </w:rPr>
        <w:t>,</w:t>
      </w:r>
      <w:r w:rsidRPr="00FE66FF">
        <w:rPr>
          <w:rFonts w:cstheme="minorHAnsi"/>
          <w:b/>
        </w:rPr>
        <w:t xml:space="preserve"> and advertising</w:t>
      </w:r>
      <w:r w:rsidRPr="00FE66FF">
        <w:rPr>
          <w:rFonts w:cstheme="minorHAnsi"/>
        </w:rPr>
        <w:t>. This is even truer for tobacco because in countries where other advertising is restricted, the pack becomes the main means of promoting tobacco</w:t>
      </w:r>
      <w:r w:rsidR="006943B6">
        <w:rPr>
          <w:rFonts w:cstheme="minorHAnsi"/>
        </w:rPr>
        <w:t>.</w:t>
      </w:r>
      <w:r w:rsidR="006943B6" w:rsidRPr="00FE66FF">
        <w:rPr>
          <w:rFonts w:cstheme="minorHAnsi"/>
        </w:rPr>
        <w:t xml:space="preserve"> </w:t>
      </w:r>
      <w:r w:rsidR="006943B6">
        <w:rPr>
          <w:rFonts w:cstheme="minorHAnsi"/>
        </w:rPr>
        <w:t>Moreover,</w:t>
      </w:r>
      <w:r w:rsidR="006943B6" w:rsidRPr="00FE66FF">
        <w:rPr>
          <w:rFonts w:cstheme="minorHAnsi"/>
        </w:rPr>
        <w:t xml:space="preserve"> </w:t>
      </w:r>
      <w:r w:rsidRPr="00FE66FF">
        <w:rPr>
          <w:rFonts w:cstheme="minorHAnsi"/>
        </w:rPr>
        <w:t xml:space="preserve">tobacco is a </w:t>
      </w:r>
      <w:r w:rsidR="006943B6">
        <w:rPr>
          <w:rFonts w:cstheme="minorHAnsi"/>
        </w:rPr>
        <w:t>“</w:t>
      </w:r>
      <w:r w:rsidRPr="00FE66FF">
        <w:rPr>
          <w:rFonts w:cstheme="minorHAnsi"/>
        </w:rPr>
        <w:t xml:space="preserve">badge </w:t>
      </w:r>
      <w:r w:rsidR="006943B6" w:rsidRPr="00FE66FF">
        <w:rPr>
          <w:rFonts w:cstheme="minorHAnsi"/>
        </w:rPr>
        <w:t>product</w:t>
      </w:r>
      <w:r w:rsidR="006943B6">
        <w:rPr>
          <w:rFonts w:cstheme="minorHAnsi"/>
        </w:rPr>
        <w:t>”</w:t>
      </w:r>
      <w:r w:rsidR="006943B6" w:rsidRPr="00FE66FF">
        <w:rPr>
          <w:rFonts w:cstheme="minorHAnsi"/>
        </w:rPr>
        <w:t xml:space="preserve"> </w:t>
      </w:r>
      <w:r w:rsidR="006943B6">
        <w:rPr>
          <w:rFonts w:cstheme="minorHAnsi"/>
        </w:rPr>
        <w:t>that</w:t>
      </w:r>
      <w:r w:rsidR="006943B6" w:rsidRPr="00FE66FF">
        <w:rPr>
          <w:rFonts w:cstheme="minorHAnsi"/>
        </w:rPr>
        <w:t xml:space="preserve"> </w:t>
      </w:r>
      <w:r w:rsidRPr="00FE66FF">
        <w:rPr>
          <w:rFonts w:cstheme="minorHAnsi"/>
        </w:rPr>
        <w:t>people carry around with them and display every time they take the pack out</w:t>
      </w:r>
      <w:r w:rsidR="006943B6">
        <w:rPr>
          <w:rFonts w:cstheme="minorHAnsi"/>
        </w:rPr>
        <w:t>.</w:t>
      </w:r>
      <w:r w:rsidRPr="00FE66FF">
        <w:rPr>
          <w:rStyle w:val="EndnoteReference"/>
          <w:rFonts w:cstheme="minorHAnsi"/>
        </w:rPr>
        <w:endnoteReference w:id="1"/>
      </w:r>
      <w:r w:rsidRPr="00FE66FF">
        <w:rPr>
          <w:rFonts w:cstheme="minorHAnsi"/>
        </w:rPr>
        <w:t xml:space="preserve"> Brightly colored and attractive branding distracts attention from the health warnings and works to create misperceptions about the how dangerous and addictive tobacco is. </w:t>
      </w:r>
    </w:p>
    <w:p w14:paraId="023DDEBF" w14:textId="49654F13" w:rsidR="00FE66FF" w:rsidRPr="001C7E1C" w:rsidRDefault="00FE66FF" w:rsidP="00E7738C">
      <w:pPr>
        <w:pStyle w:val="ListParagraph"/>
        <w:spacing w:before="240" w:after="0"/>
        <w:ind w:left="0"/>
        <w:rPr>
          <w:rFonts w:ascii="Arial" w:hAnsi="Arial" w:cs="Arial"/>
          <w:color w:val="726E52"/>
          <w:sz w:val="32"/>
          <w:szCs w:val="32"/>
        </w:rPr>
      </w:pPr>
      <w:r w:rsidRPr="001C7E1C">
        <w:rPr>
          <w:rFonts w:ascii="Arial" w:hAnsi="Arial" w:cs="Arial"/>
          <w:color w:val="726E52"/>
          <w:sz w:val="32"/>
          <w:szCs w:val="32"/>
        </w:rPr>
        <w:t xml:space="preserve">How will plain packaging work? </w:t>
      </w:r>
    </w:p>
    <w:p w14:paraId="1A96ED8E" w14:textId="44D16B15" w:rsidR="00FE66FF" w:rsidRPr="00FE66FF" w:rsidRDefault="00FE66FF" w:rsidP="004E6CEA">
      <w:pPr>
        <w:spacing w:after="80" w:line="240" w:lineRule="auto"/>
        <w:ind w:right="2540"/>
        <w:jc w:val="both"/>
        <w:rPr>
          <w:rFonts w:cstheme="minorHAnsi"/>
        </w:rPr>
      </w:pPr>
      <w:r w:rsidRPr="00FE66FF">
        <w:rPr>
          <w:rFonts w:cstheme="minorHAnsi"/>
        </w:rPr>
        <w:t>Plain packaging helps to change smoking attitudes and behaviors and reduce the overall demand for tobacco. It is likely to have a greater impact on younger people. Plain packaging will:</w:t>
      </w:r>
    </w:p>
    <w:p w14:paraId="2B24127C" w14:textId="3105E044" w:rsidR="00FE66FF" w:rsidRPr="00FE66FF" w:rsidRDefault="00FE66FF" w:rsidP="004E6CEA">
      <w:pPr>
        <w:pStyle w:val="ListParagraph"/>
        <w:numPr>
          <w:ilvl w:val="0"/>
          <w:numId w:val="3"/>
        </w:numPr>
        <w:spacing w:after="0" w:line="240" w:lineRule="auto"/>
        <w:ind w:left="425" w:right="2540" w:hanging="357"/>
        <w:contextualSpacing w:val="0"/>
        <w:jc w:val="both"/>
        <w:rPr>
          <w:rFonts w:cstheme="minorHAnsi"/>
        </w:rPr>
      </w:pPr>
      <w:r w:rsidRPr="00FE66FF">
        <w:rPr>
          <w:rFonts w:cstheme="minorHAnsi"/>
          <w:b/>
        </w:rPr>
        <w:t xml:space="preserve">reduce the appeal and attractiveness </w:t>
      </w:r>
      <w:r w:rsidRPr="00FE66FF">
        <w:rPr>
          <w:rFonts w:cstheme="minorHAnsi"/>
        </w:rPr>
        <w:t>of tobacco products to consumers</w:t>
      </w:r>
      <w:r w:rsidR="004F7DA3">
        <w:rPr>
          <w:rFonts w:cstheme="minorHAnsi"/>
        </w:rPr>
        <w:t>;</w:t>
      </w:r>
    </w:p>
    <w:p w14:paraId="21E5F037" w14:textId="49797029" w:rsidR="00FE66FF" w:rsidRPr="00FE66FF" w:rsidRDefault="00FE66FF" w:rsidP="004E6CEA">
      <w:pPr>
        <w:pStyle w:val="ListParagraph"/>
        <w:numPr>
          <w:ilvl w:val="0"/>
          <w:numId w:val="3"/>
        </w:numPr>
        <w:spacing w:after="0" w:line="240" w:lineRule="auto"/>
        <w:ind w:left="425" w:right="2540" w:hanging="357"/>
        <w:contextualSpacing w:val="0"/>
        <w:jc w:val="both"/>
        <w:rPr>
          <w:rFonts w:cstheme="minorHAnsi"/>
        </w:rPr>
      </w:pPr>
      <w:r w:rsidRPr="00FE66FF">
        <w:rPr>
          <w:rFonts w:cstheme="minorHAnsi"/>
          <w:b/>
        </w:rPr>
        <w:t>increase the noticeability and effectiveness of health warnings</w:t>
      </w:r>
      <w:r w:rsidRPr="00FE66FF">
        <w:rPr>
          <w:rFonts w:cstheme="minorHAnsi"/>
        </w:rPr>
        <w:t xml:space="preserve"> on the packaging of tobacco products</w:t>
      </w:r>
      <w:r w:rsidR="004F7DA3">
        <w:rPr>
          <w:rFonts w:cstheme="minorHAnsi"/>
        </w:rPr>
        <w:t>; and</w:t>
      </w:r>
    </w:p>
    <w:p w14:paraId="0D3D3517" w14:textId="52D0BE78" w:rsidR="00FE66FF" w:rsidRDefault="00D55B81" w:rsidP="004E6CEA">
      <w:pPr>
        <w:pStyle w:val="ListParagraph"/>
        <w:numPr>
          <w:ilvl w:val="0"/>
          <w:numId w:val="3"/>
        </w:numPr>
        <w:spacing w:after="0" w:line="240" w:lineRule="auto"/>
        <w:ind w:left="425" w:right="2540" w:hanging="357"/>
        <w:contextualSpacing w:val="0"/>
        <w:jc w:val="both"/>
        <w:rPr>
          <w:rFonts w:cstheme="minorHAnsi"/>
        </w:rPr>
      </w:pPr>
      <w:r w:rsidRPr="00D55B81">
        <w:rPr>
          <w:rFonts w:cstheme="minorHAnsi"/>
          <w:b/>
          <w:noProof/>
          <w:lang w:val="en-US"/>
        </w:rPr>
        <mc:AlternateContent>
          <mc:Choice Requires="wps">
            <w:drawing>
              <wp:anchor distT="45720" distB="45720" distL="114300" distR="114300" simplePos="0" relativeHeight="251668480" behindDoc="0" locked="0" layoutInCell="1" allowOverlap="1" wp14:anchorId="42CC4EB3" wp14:editId="32F3EEC9">
                <wp:simplePos x="0" y="0"/>
                <wp:positionH relativeFrom="column">
                  <wp:posOffset>36195</wp:posOffset>
                </wp:positionH>
                <wp:positionV relativeFrom="paragraph">
                  <wp:posOffset>529590</wp:posOffset>
                </wp:positionV>
                <wp:extent cx="6591300" cy="660400"/>
                <wp:effectExtent l="0" t="0" r="19050"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660400"/>
                        </a:xfrm>
                        <a:prstGeom prst="rect">
                          <a:avLst/>
                        </a:prstGeom>
                        <a:solidFill>
                          <a:schemeClr val="tx2">
                            <a:lumMod val="20000"/>
                            <a:lumOff val="80000"/>
                          </a:schemeClr>
                        </a:solidFill>
                        <a:ln w="9525">
                          <a:solidFill>
                            <a:srgbClr val="000000"/>
                          </a:solidFill>
                          <a:miter lim="800000"/>
                          <a:headEnd/>
                          <a:tailEnd/>
                        </a:ln>
                      </wps:spPr>
                      <wps:txbx>
                        <w:txbxContent>
                          <w:sdt>
                            <w:sdtPr>
                              <w:id w:val="568603642"/>
                              <w:temporary/>
                            </w:sdtPr>
                            <w:sdtEndPr/>
                            <w:sdtContent>
                              <w:p w14:paraId="1039BD81" w14:textId="77777777" w:rsidR="000D5380" w:rsidRDefault="000D5380">
                                <w:r w:rsidRPr="00D55B81">
                                  <w:t>“</w:t>
                                </w:r>
                                <w:r w:rsidRPr="00D55B81">
                                  <w:rPr>
                                    <w:rFonts w:ascii="Arial" w:hAnsi="Arial" w:cs="Arial"/>
                                  </w:rPr>
                                  <w:t>Our final communication vehicle with our smoker is the pack itself. In the absence of any other marketing messages, our packaging...is the sole communicator of our brand essence. Put another way—when you don’t have anything else—our packaging is our marketing</w:t>
                                </w:r>
                                <w:r w:rsidRPr="00D55B81">
                                  <w:t>.”   BAT executive.</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C4EB3" id="_x0000_s1029" type="#_x0000_t202" style="position:absolute;left:0;text-align:left;margin-left:2.85pt;margin-top:41.7pt;width:519pt;height:52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" fillcolor="#d5dce4 [671]">
                <v:textbox>
                  <w:txbxContent>
                    <w:sdt>
                      <w:sdtPr>
                        <w:id w:val="568603642"/>
                        <w:temporary/>
                      </w:sdtPr>
                      <w:sdtEndPr/>
                      <w:sdtContent>
                        <w:p w14:paraId="1039BD81" w14:textId="77777777" w:rsidR="000D5380" w:rsidRDefault="000D5380">
                          <w:r w:rsidRPr="00D55B81">
                            <w:t>“</w:t>
                          </w:r>
                          <w:r w:rsidRPr="00D55B81">
                            <w:rPr>
                              <w:rFonts w:ascii="Arial" w:hAnsi="Arial" w:cs="Arial"/>
                            </w:rPr>
                            <w:t>Our final communication vehicle with our smoker is the pack itself. In the absence of any other marketing messages, our packaging...is the sole communicator of our brand essence. Put another way—when you don’t have anything else—our packaging is our marketing</w:t>
                          </w:r>
                          <w:r w:rsidRPr="00D55B81">
                            <w:t>.”   BAT executive.</w:t>
                          </w:r>
                        </w:p>
                      </w:sdtContent>
                    </w:sdt>
                  </w:txbxContent>
                </v:textbox>
                <w10:wrap type="square"/>
              </v:shape>
            </w:pict>
          </mc:Fallback>
        </mc:AlternateContent>
      </w:r>
      <w:r w:rsidR="00FE66FF" w:rsidRPr="00FE66FF">
        <w:rPr>
          <w:rFonts w:cstheme="minorHAnsi"/>
          <w:b/>
        </w:rPr>
        <w:t>reduce the ability of the packaging of tobacco products to mislead consumers</w:t>
      </w:r>
      <w:r w:rsidR="00FE66FF" w:rsidRPr="00FE66FF">
        <w:rPr>
          <w:rFonts w:cstheme="minorHAnsi"/>
        </w:rPr>
        <w:t xml:space="preserve"> about the harmful effects of smoking or using tobacco products</w:t>
      </w:r>
    </w:p>
    <w:p w14:paraId="002A754C" w14:textId="77777777" w:rsidR="00E7738C" w:rsidRPr="00FE66FF" w:rsidRDefault="00E7738C" w:rsidP="00E7738C">
      <w:pPr>
        <w:pStyle w:val="ListParagraph"/>
        <w:spacing w:before="80" w:after="0" w:line="240" w:lineRule="auto"/>
        <w:ind w:left="425" w:right="3958"/>
        <w:contextualSpacing w:val="0"/>
        <w:jc w:val="both"/>
        <w:rPr>
          <w:rFonts w:cstheme="minorHAnsi"/>
        </w:rPr>
      </w:pPr>
    </w:p>
    <w:p w14:paraId="77E29216" w14:textId="77777777" w:rsidR="00E7738C" w:rsidRPr="001C7E1C" w:rsidRDefault="002E7E24" w:rsidP="00D55B81">
      <w:pPr>
        <w:spacing w:after="0"/>
        <w:ind w:right="2257"/>
        <w:jc w:val="both"/>
        <w:rPr>
          <w:rFonts w:ascii="Arial" w:hAnsi="Arial" w:cs="Arial"/>
          <w:color w:val="726E52"/>
          <w:sz w:val="32"/>
          <w:szCs w:val="32"/>
        </w:rPr>
      </w:pPr>
      <w:r>
        <w:rPr>
          <w:noProof/>
          <w:color w:val="726E52"/>
        </w:rPr>
        <w:lastRenderedPageBreak/>
        <w:pict w14:anchorId="531C72FB">
          <v:shape id="_x0000_s1026" type="#_x0000_t75" style="position:absolute;left:0;text-align:left;margin-left:424pt;margin-top:4.6pt;width:122pt;height:196pt;z-index:251670528;mso-position-horizontal-relative:text;mso-position-vertical-relative:text;mso-width-relative:page;mso-height-relative:page">
            <v:imagedata r:id="rId10" o:title="Bondstreet_Aus"/>
          </v:shape>
        </w:pict>
      </w:r>
      <w:r w:rsidR="00E7738C" w:rsidRPr="001C7E1C">
        <w:rPr>
          <w:rFonts w:ascii="Arial" w:hAnsi="Arial" w:cs="Arial"/>
          <w:color w:val="726E52"/>
          <w:sz w:val="32"/>
          <w:szCs w:val="32"/>
        </w:rPr>
        <w:t>Which countries already have plain packaging?</w:t>
      </w:r>
      <w:r w:rsidR="00E7738C" w:rsidRPr="001C7E1C">
        <w:rPr>
          <w:rStyle w:val="EndnoteReference"/>
          <w:rFonts w:ascii="Arial" w:hAnsi="Arial" w:cs="Arial"/>
          <w:color w:val="726E52"/>
          <w:sz w:val="32"/>
          <w:szCs w:val="32"/>
        </w:rPr>
        <w:endnoteReference w:id="2"/>
      </w:r>
    </w:p>
    <w:p w14:paraId="4A0B6003" w14:textId="2D27D8D0" w:rsidR="00E7738C" w:rsidRPr="00E7738C" w:rsidRDefault="00E7738C" w:rsidP="00D55B81">
      <w:pPr>
        <w:ind w:right="2257"/>
        <w:jc w:val="both"/>
        <w:rPr>
          <w:rFonts w:cstheme="minorHAnsi"/>
        </w:rPr>
      </w:pPr>
      <w:r w:rsidRPr="00E7738C">
        <w:rPr>
          <w:rFonts w:cstheme="minorHAnsi"/>
          <w:b/>
        </w:rPr>
        <w:t>Australia</w:t>
      </w:r>
      <w:r w:rsidRPr="00E7738C">
        <w:rPr>
          <w:rFonts w:cstheme="minorHAnsi"/>
        </w:rPr>
        <w:t xml:space="preserve"> was the first to introduce the policy in 2012. Since then</w:t>
      </w:r>
      <w:r w:rsidR="00E23C6D">
        <w:rPr>
          <w:rFonts w:cstheme="minorHAnsi"/>
        </w:rPr>
        <w:t>,</w:t>
      </w:r>
      <w:r w:rsidRPr="00E7738C">
        <w:rPr>
          <w:rFonts w:cstheme="minorHAnsi"/>
        </w:rPr>
        <w:t xml:space="preserve"> </w:t>
      </w:r>
      <w:r w:rsidRPr="00E7738C">
        <w:rPr>
          <w:rFonts w:cstheme="minorHAnsi"/>
          <w:b/>
        </w:rPr>
        <w:t>France</w:t>
      </w:r>
      <w:r w:rsidRPr="00E7738C">
        <w:rPr>
          <w:rFonts w:cstheme="minorHAnsi"/>
        </w:rPr>
        <w:t xml:space="preserve"> and</w:t>
      </w:r>
      <w:r w:rsidRPr="00E7738C">
        <w:rPr>
          <w:rFonts w:cstheme="minorHAnsi"/>
          <w:b/>
        </w:rPr>
        <w:t xml:space="preserve"> the UK </w:t>
      </w:r>
      <w:r w:rsidRPr="00E7738C">
        <w:rPr>
          <w:rFonts w:cstheme="minorHAnsi"/>
        </w:rPr>
        <w:t xml:space="preserve">have </w:t>
      </w:r>
      <w:r w:rsidR="004E6CEA">
        <w:rPr>
          <w:rFonts w:cstheme="minorHAnsi"/>
        </w:rPr>
        <w:t>brought it into force</w:t>
      </w:r>
      <w:r w:rsidRPr="00E7738C">
        <w:rPr>
          <w:rFonts w:cstheme="minorHAnsi"/>
        </w:rPr>
        <w:t xml:space="preserve">. </w:t>
      </w:r>
      <w:r w:rsidRPr="00E7738C">
        <w:rPr>
          <w:rFonts w:cstheme="minorHAnsi"/>
          <w:b/>
        </w:rPr>
        <w:t>Ireland, Hungary, Norway, and New Zealand</w:t>
      </w:r>
      <w:r w:rsidRPr="00E7738C">
        <w:rPr>
          <w:rFonts w:cstheme="minorHAnsi"/>
        </w:rPr>
        <w:t xml:space="preserve"> have all adopted plain packaging laws </w:t>
      </w:r>
      <w:r w:rsidR="00E23C6D">
        <w:rPr>
          <w:rFonts w:cstheme="minorHAnsi"/>
        </w:rPr>
        <w:t>that</w:t>
      </w:r>
      <w:r w:rsidR="00E23C6D" w:rsidRPr="00E7738C">
        <w:rPr>
          <w:rFonts w:cstheme="minorHAnsi"/>
        </w:rPr>
        <w:t xml:space="preserve"> </w:t>
      </w:r>
      <w:r w:rsidRPr="00E7738C">
        <w:rPr>
          <w:rFonts w:cstheme="minorHAnsi"/>
        </w:rPr>
        <w:t>should be implemented during 2017 and 2018. As of January 2017, many other countries governments have legislation before parliament or are seriously considering the policy</w:t>
      </w:r>
      <w:r w:rsidR="00E23C6D">
        <w:rPr>
          <w:rFonts w:cstheme="minorHAnsi"/>
        </w:rPr>
        <w:t>,</w:t>
      </w:r>
      <w:r w:rsidRPr="00E7738C">
        <w:rPr>
          <w:rFonts w:cstheme="minorHAnsi"/>
        </w:rPr>
        <w:t xml:space="preserve"> including </w:t>
      </w:r>
      <w:r w:rsidRPr="00E7738C">
        <w:rPr>
          <w:rFonts w:cstheme="minorHAnsi"/>
          <w:b/>
        </w:rPr>
        <w:t>Canada, Belgium, Slovenia, Uruguay, Thailand, South Africa, Chile, Singapore</w:t>
      </w:r>
      <w:r w:rsidR="004F7DA3">
        <w:rPr>
          <w:rFonts w:cstheme="minorHAnsi"/>
          <w:b/>
        </w:rPr>
        <w:t>,</w:t>
      </w:r>
      <w:r w:rsidRPr="00E7738C">
        <w:rPr>
          <w:rFonts w:cstheme="minorHAnsi"/>
          <w:b/>
        </w:rPr>
        <w:t xml:space="preserve"> and Sri Lanka</w:t>
      </w:r>
      <w:r w:rsidRPr="00E7738C">
        <w:rPr>
          <w:rFonts w:cstheme="minorHAnsi"/>
        </w:rPr>
        <w:t>.</w:t>
      </w:r>
    </w:p>
    <w:p w14:paraId="316F2B48" w14:textId="6CB56785" w:rsidR="00E7738C" w:rsidRPr="001C7E1C" w:rsidRDefault="00E7738C" w:rsidP="00D55B81">
      <w:pPr>
        <w:pStyle w:val="ListParagraph"/>
        <w:spacing w:before="120" w:after="0"/>
        <w:ind w:left="6" w:right="2257"/>
        <w:jc w:val="both"/>
        <w:rPr>
          <w:rFonts w:ascii="Arial" w:hAnsi="Arial" w:cs="Arial"/>
          <w:color w:val="726E52"/>
          <w:sz w:val="32"/>
          <w:szCs w:val="32"/>
        </w:rPr>
      </w:pPr>
      <w:r w:rsidRPr="001C7E1C">
        <w:rPr>
          <w:rFonts w:ascii="Arial" w:hAnsi="Arial" w:cs="Arial"/>
          <w:color w:val="726E52"/>
          <w:sz w:val="32"/>
          <w:szCs w:val="32"/>
        </w:rPr>
        <w:t xml:space="preserve">Does it work </w:t>
      </w:r>
      <w:r w:rsidR="004F7DA3">
        <w:rPr>
          <w:rFonts w:ascii="Arial" w:hAnsi="Arial" w:cs="Arial"/>
          <w:color w:val="726E52"/>
          <w:sz w:val="32"/>
          <w:szCs w:val="32"/>
        </w:rPr>
        <w:t>—</w:t>
      </w:r>
      <w:r w:rsidRPr="001C7E1C">
        <w:rPr>
          <w:rFonts w:ascii="Arial" w:hAnsi="Arial" w:cs="Arial"/>
          <w:color w:val="726E52"/>
          <w:sz w:val="32"/>
          <w:szCs w:val="32"/>
        </w:rPr>
        <w:t xml:space="preserve"> what does the evidence say?</w:t>
      </w:r>
    </w:p>
    <w:p w14:paraId="10DC3AFB" w14:textId="3DC87F16" w:rsidR="00E7738C" w:rsidRPr="00E7738C" w:rsidRDefault="00E7738C" w:rsidP="00D55B81">
      <w:pPr>
        <w:ind w:right="2257"/>
        <w:jc w:val="both"/>
        <w:rPr>
          <w:rFonts w:cstheme="minorHAnsi"/>
        </w:rPr>
      </w:pPr>
      <w:r w:rsidRPr="00E7738C">
        <w:rPr>
          <w:rFonts w:cstheme="minorHAnsi"/>
        </w:rPr>
        <w:t xml:space="preserve">Yes. There have been </w:t>
      </w:r>
      <w:r w:rsidR="00DC705B">
        <w:rPr>
          <w:rFonts w:cstheme="minorHAnsi"/>
          <w:b/>
        </w:rPr>
        <w:t>five</w:t>
      </w:r>
      <w:r w:rsidR="00E23C6D" w:rsidRPr="00E7738C">
        <w:rPr>
          <w:rFonts w:cstheme="minorHAnsi"/>
          <w:b/>
        </w:rPr>
        <w:t xml:space="preserve"> </w:t>
      </w:r>
      <w:r w:rsidRPr="00E7738C">
        <w:rPr>
          <w:rFonts w:cstheme="minorHAnsi"/>
          <w:b/>
        </w:rPr>
        <w:t xml:space="preserve">international </w:t>
      </w:r>
      <w:r w:rsidR="00AC7AB7">
        <w:rPr>
          <w:rFonts w:cstheme="minorHAnsi"/>
          <w:b/>
        </w:rPr>
        <w:t>systematic</w:t>
      </w:r>
      <w:r w:rsidRPr="00E7738C">
        <w:rPr>
          <w:rFonts w:cstheme="minorHAnsi"/>
          <w:b/>
        </w:rPr>
        <w:t xml:space="preserve"> evidence reviews</w:t>
      </w:r>
      <w:r w:rsidRPr="00E7738C">
        <w:rPr>
          <w:rFonts w:cstheme="minorHAnsi"/>
        </w:rPr>
        <w:t xml:space="preserve"> that considered all the </w:t>
      </w:r>
      <w:r w:rsidR="00E23C6D" w:rsidRPr="00E7738C">
        <w:rPr>
          <w:rFonts w:cstheme="minorHAnsi"/>
        </w:rPr>
        <w:t>peer</w:t>
      </w:r>
      <w:r w:rsidR="00E23C6D">
        <w:rPr>
          <w:rFonts w:cstheme="minorHAnsi"/>
        </w:rPr>
        <w:t>-</w:t>
      </w:r>
      <w:r w:rsidRPr="00E7738C">
        <w:rPr>
          <w:rFonts w:cstheme="minorHAnsi"/>
        </w:rPr>
        <w:t>reviewed research studies from around the globe on the impact of plain packaging on smoking behaviors and attitudes</w:t>
      </w:r>
      <w:r w:rsidR="00E23C6D">
        <w:rPr>
          <w:rFonts w:cstheme="minorHAnsi"/>
        </w:rPr>
        <w:t>.</w:t>
      </w:r>
      <w:r w:rsidRPr="00E7738C">
        <w:rPr>
          <w:rStyle w:val="EndnoteReference"/>
          <w:rFonts w:cstheme="minorHAnsi"/>
        </w:rPr>
        <w:endnoteReference w:id="3"/>
      </w:r>
      <w:r w:rsidRPr="00E7738C">
        <w:rPr>
          <w:rFonts w:cstheme="minorHAnsi"/>
        </w:rPr>
        <w:t xml:space="preserve"> All concluded that the policy would be effective at contributing to its objectives. </w:t>
      </w:r>
    </w:p>
    <w:p w14:paraId="6BCF7025" w14:textId="573F0C62" w:rsidR="00E7738C" w:rsidRPr="00E7738C" w:rsidRDefault="002E7E24" w:rsidP="00D55B81">
      <w:pPr>
        <w:ind w:right="2257"/>
        <w:jc w:val="both"/>
        <w:rPr>
          <w:rFonts w:cstheme="minorHAnsi"/>
        </w:rPr>
      </w:pPr>
      <w:r>
        <w:rPr>
          <w:noProof/>
        </w:rPr>
        <w:pict w14:anchorId="0573D87C">
          <v:shape id="_x0000_s1027" type="#_x0000_t75" style="position:absolute;left:0;text-align:left;margin-left:424pt;margin-top:13.95pt;width:120.8pt;height:187pt;z-index:251672576;mso-position-horizontal-relative:text;mso-position-vertical-relative:text;mso-width-relative:page;mso-height-relative:page">
            <v:imagedata r:id="rId11" o:title="dunhill uk"/>
          </v:shape>
        </w:pict>
      </w:r>
      <w:r w:rsidR="00E7738C" w:rsidRPr="00E7738C">
        <w:rPr>
          <w:rFonts w:cstheme="minorHAnsi"/>
        </w:rPr>
        <w:t xml:space="preserve">In Australia, over </w:t>
      </w:r>
      <w:r w:rsidR="00E23C6D">
        <w:rPr>
          <w:rFonts w:cstheme="minorHAnsi"/>
        </w:rPr>
        <w:t>four</w:t>
      </w:r>
      <w:r w:rsidR="00E23C6D" w:rsidRPr="00E7738C">
        <w:rPr>
          <w:rFonts w:cstheme="minorHAnsi"/>
        </w:rPr>
        <w:t xml:space="preserve"> </w:t>
      </w:r>
      <w:r w:rsidR="00E7738C" w:rsidRPr="00E7738C">
        <w:rPr>
          <w:rFonts w:cstheme="minorHAnsi"/>
        </w:rPr>
        <w:t>years of post-implementation data shows continued significant declines in smoking rates</w:t>
      </w:r>
      <w:r w:rsidR="00E23C6D">
        <w:rPr>
          <w:rFonts w:cstheme="minorHAnsi"/>
        </w:rPr>
        <w:t>.</w:t>
      </w:r>
      <w:r w:rsidR="00E7738C" w:rsidRPr="00E7738C">
        <w:rPr>
          <w:rStyle w:val="EndnoteReference"/>
          <w:rFonts w:cstheme="minorHAnsi"/>
        </w:rPr>
        <w:endnoteReference w:id="4"/>
      </w:r>
      <w:r w:rsidR="00E7738C" w:rsidRPr="00E7738C">
        <w:rPr>
          <w:rFonts w:cstheme="minorHAnsi"/>
        </w:rPr>
        <w:t xml:space="preserve"> The government’s </w:t>
      </w:r>
      <w:r w:rsidR="00AA0D63" w:rsidRPr="00E7738C">
        <w:rPr>
          <w:rFonts w:cstheme="minorHAnsi"/>
        </w:rPr>
        <w:t>post</w:t>
      </w:r>
      <w:r w:rsidR="00AA0D63">
        <w:rPr>
          <w:rFonts w:cstheme="minorHAnsi"/>
        </w:rPr>
        <w:t>-</w:t>
      </w:r>
      <w:r w:rsidR="00E7738C" w:rsidRPr="00E7738C">
        <w:rPr>
          <w:rFonts w:cstheme="minorHAnsi"/>
        </w:rPr>
        <w:t>implementation review concluded that a 0.55 percentage point drop could be attributed to plain packaging (</w:t>
      </w:r>
      <w:r w:rsidR="00E7738C" w:rsidRPr="00E7738C">
        <w:rPr>
          <w:rFonts w:cstheme="minorHAnsi"/>
          <w:b/>
        </w:rPr>
        <w:t xml:space="preserve">equivalent to 118,000 </w:t>
      </w:r>
      <w:r w:rsidR="00AA0D63">
        <w:rPr>
          <w:rFonts w:cstheme="minorHAnsi"/>
          <w:b/>
        </w:rPr>
        <w:t>fewer</w:t>
      </w:r>
      <w:r w:rsidR="00AA0D63" w:rsidRPr="00E7738C">
        <w:rPr>
          <w:rFonts w:cstheme="minorHAnsi"/>
          <w:b/>
        </w:rPr>
        <w:t xml:space="preserve"> </w:t>
      </w:r>
      <w:r w:rsidR="00E7738C" w:rsidRPr="00E7738C">
        <w:rPr>
          <w:rFonts w:cstheme="minorHAnsi"/>
          <w:b/>
        </w:rPr>
        <w:t>people smoking</w:t>
      </w:r>
      <w:r w:rsidR="00E7738C" w:rsidRPr="00E7738C">
        <w:rPr>
          <w:rStyle w:val="EndnoteReference"/>
          <w:rFonts w:cstheme="minorHAnsi"/>
        </w:rPr>
        <w:endnoteReference w:id="5"/>
      </w:r>
      <w:r w:rsidR="00E7738C" w:rsidRPr="00E7738C">
        <w:rPr>
          <w:rFonts w:cstheme="minorHAnsi"/>
          <w:b/>
        </w:rPr>
        <w:t xml:space="preserve"> over </w:t>
      </w:r>
      <w:r w:rsidR="00AA0D63">
        <w:rPr>
          <w:rFonts w:cstheme="minorHAnsi"/>
          <w:b/>
        </w:rPr>
        <w:t>three</w:t>
      </w:r>
      <w:r w:rsidR="00AA0D63" w:rsidRPr="00E7738C">
        <w:rPr>
          <w:rFonts w:cstheme="minorHAnsi"/>
          <w:b/>
        </w:rPr>
        <w:t xml:space="preserve"> </w:t>
      </w:r>
      <w:r w:rsidR="00E7738C" w:rsidRPr="00E7738C">
        <w:rPr>
          <w:rFonts w:cstheme="minorHAnsi"/>
          <w:b/>
        </w:rPr>
        <w:t>years</w:t>
      </w:r>
      <w:r w:rsidR="00AA0D63" w:rsidRPr="00E7738C">
        <w:rPr>
          <w:rFonts w:cstheme="minorHAnsi"/>
        </w:rPr>
        <w:t>)</w:t>
      </w:r>
      <w:r w:rsidR="00AA0D63">
        <w:rPr>
          <w:rFonts w:cstheme="minorHAnsi"/>
        </w:rPr>
        <w:t>.</w:t>
      </w:r>
      <w:r w:rsidR="00AA0D63" w:rsidRPr="00E7738C">
        <w:rPr>
          <w:rFonts w:cstheme="minorHAnsi"/>
        </w:rPr>
        <w:t xml:space="preserve"> </w:t>
      </w:r>
    </w:p>
    <w:p w14:paraId="100E27CA" w14:textId="1490CCF6" w:rsidR="00E7738C" w:rsidRPr="00E7738C" w:rsidRDefault="00E7738C" w:rsidP="00D55B81">
      <w:pPr>
        <w:ind w:right="2257"/>
        <w:jc w:val="both"/>
        <w:rPr>
          <w:rFonts w:cstheme="minorHAnsi"/>
        </w:rPr>
      </w:pPr>
      <w:r w:rsidRPr="00E7738C">
        <w:rPr>
          <w:rFonts w:cstheme="minorHAnsi"/>
        </w:rPr>
        <w:t>The tobacco industry has refused to release any of its own internal research into the impacts of plain packaging. The studies the tobacco companies rely on to oppose plain packaging are almost universally not peer reviewed</w:t>
      </w:r>
      <w:r w:rsidR="00AA0D63">
        <w:rPr>
          <w:rFonts w:cstheme="minorHAnsi"/>
        </w:rPr>
        <w:t>,</w:t>
      </w:r>
      <w:r w:rsidR="00AA0D63" w:rsidRPr="00E7738C">
        <w:rPr>
          <w:rFonts w:cstheme="minorHAnsi"/>
        </w:rPr>
        <w:t xml:space="preserve"> </w:t>
      </w:r>
      <w:r w:rsidRPr="00E7738C">
        <w:rPr>
          <w:rFonts w:cstheme="minorHAnsi"/>
        </w:rPr>
        <w:t>are unverifiable</w:t>
      </w:r>
      <w:r w:rsidR="00AA0D63">
        <w:rPr>
          <w:rFonts w:cstheme="minorHAnsi"/>
        </w:rPr>
        <w:t>,</w:t>
      </w:r>
      <w:r w:rsidR="00AA0D63" w:rsidRPr="00E7738C">
        <w:rPr>
          <w:rFonts w:cstheme="minorHAnsi"/>
        </w:rPr>
        <w:t xml:space="preserve"> </w:t>
      </w:r>
      <w:r w:rsidRPr="00E7738C">
        <w:rPr>
          <w:rFonts w:cstheme="minorHAnsi"/>
        </w:rPr>
        <w:t>and either ignore or airily dismiss the global evidence that supports the policy being effective</w:t>
      </w:r>
      <w:r w:rsidR="00AA0D63">
        <w:rPr>
          <w:rFonts w:cstheme="minorHAnsi"/>
        </w:rPr>
        <w:t>.</w:t>
      </w:r>
      <w:r w:rsidRPr="00E7738C">
        <w:rPr>
          <w:rStyle w:val="EndnoteReference"/>
          <w:rFonts w:cstheme="minorHAnsi"/>
        </w:rPr>
        <w:endnoteReference w:id="6"/>
      </w:r>
      <w:r w:rsidRPr="00E7738C">
        <w:rPr>
          <w:rFonts w:cstheme="minorHAnsi"/>
        </w:rPr>
        <w:t xml:space="preserve"> </w:t>
      </w:r>
    </w:p>
    <w:p w14:paraId="0A193D0A" w14:textId="4C1CD468" w:rsidR="00E7738C" w:rsidRPr="001C7E1C" w:rsidRDefault="00AC7AB7" w:rsidP="00D55B81">
      <w:pPr>
        <w:pStyle w:val="ListParagraph"/>
        <w:spacing w:before="240" w:after="0"/>
        <w:ind w:left="6" w:right="2257"/>
        <w:jc w:val="both"/>
        <w:rPr>
          <w:rFonts w:ascii="Arial" w:hAnsi="Arial" w:cs="Arial"/>
          <w:color w:val="726E52"/>
          <w:sz w:val="32"/>
          <w:szCs w:val="32"/>
        </w:rPr>
      </w:pPr>
      <w:r>
        <w:rPr>
          <w:rFonts w:ascii="Arial" w:hAnsi="Arial" w:cs="Arial"/>
          <w:color w:val="726E52"/>
          <w:sz w:val="32"/>
          <w:szCs w:val="32"/>
        </w:rPr>
        <w:t>Is it lawful</w:t>
      </w:r>
      <w:r w:rsidR="00E7738C" w:rsidRPr="001C7E1C">
        <w:rPr>
          <w:rFonts w:ascii="Arial" w:hAnsi="Arial" w:cs="Arial"/>
          <w:color w:val="726E52"/>
          <w:sz w:val="32"/>
          <w:szCs w:val="32"/>
        </w:rPr>
        <w:t xml:space="preserve">? </w:t>
      </w:r>
    </w:p>
    <w:p w14:paraId="05475525" w14:textId="1213BED4" w:rsidR="00E7738C" w:rsidRPr="00E7738C" w:rsidRDefault="00E7738C" w:rsidP="00D55B81">
      <w:pPr>
        <w:ind w:right="2257"/>
        <w:jc w:val="both"/>
        <w:rPr>
          <w:rFonts w:cstheme="minorHAnsi"/>
        </w:rPr>
      </w:pPr>
      <w:r w:rsidRPr="00E7738C">
        <w:rPr>
          <w:rFonts w:cstheme="minorHAnsi"/>
        </w:rPr>
        <w:t>Yes. Plain packaging is recommended by the implementation guidelines to articles 11 and 13 of the Framework Convention on Tobacco Control</w:t>
      </w:r>
      <w:r w:rsidRPr="00E7738C">
        <w:rPr>
          <w:rStyle w:val="EndnoteReference"/>
          <w:rFonts w:cstheme="minorHAnsi"/>
        </w:rPr>
        <w:endnoteReference w:id="7"/>
      </w:r>
      <w:r w:rsidRPr="00E7738C">
        <w:rPr>
          <w:rFonts w:cstheme="minorHAnsi"/>
        </w:rPr>
        <w:t xml:space="preserve"> </w:t>
      </w:r>
      <w:r w:rsidR="00AA0D63">
        <w:rPr>
          <w:rFonts w:cstheme="minorHAnsi"/>
        </w:rPr>
        <w:t>—</w:t>
      </w:r>
      <w:r w:rsidRPr="00E7738C">
        <w:rPr>
          <w:rFonts w:cstheme="minorHAnsi"/>
        </w:rPr>
        <w:t xml:space="preserve"> one of the most widely ratified international treaties in the world. </w:t>
      </w:r>
    </w:p>
    <w:p w14:paraId="1C9A1BE0" w14:textId="1A8C8D1B" w:rsidR="00E7738C" w:rsidRPr="00E7738C" w:rsidRDefault="002E7E24" w:rsidP="00D55B81">
      <w:pPr>
        <w:ind w:right="2257"/>
        <w:jc w:val="both"/>
        <w:rPr>
          <w:rFonts w:cstheme="minorHAnsi"/>
        </w:rPr>
      </w:pPr>
      <w:r>
        <w:rPr>
          <w:noProof/>
        </w:rPr>
        <w:pict w14:anchorId="4844C398">
          <v:shape id="_x0000_s1028" type="#_x0000_t75" style="position:absolute;left:0;text-align:left;margin-left:422.8pt;margin-top:8.25pt;width:122pt;height:116.5pt;z-index:251674624;mso-position-horizontal-relative:text;mso-position-vertical-relative:text;mso-width-relative:page;mso-height-relative:page" stroked="t" strokecolor="black [3213]">
            <v:imagedata r:id="rId12" o:title="cigars 2" cropbottom="4906f" cropright="5254f"/>
          </v:shape>
        </w:pict>
      </w:r>
      <w:r w:rsidR="00E7738C" w:rsidRPr="00E7738C">
        <w:rPr>
          <w:rFonts w:cstheme="minorHAnsi"/>
        </w:rPr>
        <w:t xml:space="preserve">The tobacco industry tries to argue that plain packaging breaches the World Trade </w:t>
      </w:r>
      <w:r w:rsidR="00AA0D63" w:rsidRPr="00E7738C">
        <w:rPr>
          <w:rFonts w:cstheme="minorHAnsi"/>
        </w:rPr>
        <w:t>Organi</w:t>
      </w:r>
      <w:r w:rsidR="00AA0D63">
        <w:rPr>
          <w:rFonts w:cstheme="minorHAnsi"/>
        </w:rPr>
        <w:t>z</w:t>
      </w:r>
      <w:r w:rsidR="00AA0D63" w:rsidRPr="00E7738C">
        <w:rPr>
          <w:rFonts w:cstheme="minorHAnsi"/>
        </w:rPr>
        <w:t xml:space="preserve">ation </w:t>
      </w:r>
      <w:r w:rsidR="00E7738C" w:rsidRPr="00E7738C">
        <w:rPr>
          <w:rFonts w:cstheme="minorHAnsi"/>
        </w:rPr>
        <w:t>agreements, intellectual property laws</w:t>
      </w:r>
      <w:r w:rsidR="00AA0D63">
        <w:rPr>
          <w:rFonts w:cstheme="minorHAnsi"/>
        </w:rPr>
        <w:t>,</w:t>
      </w:r>
      <w:r w:rsidR="00E7738C" w:rsidRPr="00E7738C">
        <w:rPr>
          <w:rFonts w:cstheme="minorHAnsi"/>
        </w:rPr>
        <w:t xml:space="preserve"> and national constitutions. These arguments have been consistently rejected by national and international courts and tribunals. </w:t>
      </w:r>
    </w:p>
    <w:p w14:paraId="5F2C1306" w14:textId="3BDA8E69" w:rsidR="00E7738C" w:rsidRDefault="00E7738C" w:rsidP="00D55B81">
      <w:pPr>
        <w:ind w:right="2257"/>
        <w:jc w:val="both"/>
        <w:rPr>
          <w:rFonts w:cstheme="minorHAnsi"/>
        </w:rPr>
      </w:pPr>
      <w:r w:rsidRPr="00E7738C">
        <w:rPr>
          <w:rFonts w:cstheme="minorHAnsi"/>
        </w:rPr>
        <w:t xml:space="preserve">The tobacco industry has brought legal challenges to </w:t>
      </w:r>
      <w:r w:rsidR="00AA0D63" w:rsidRPr="00E7738C">
        <w:rPr>
          <w:rFonts w:cstheme="minorHAnsi"/>
        </w:rPr>
        <w:t>plain</w:t>
      </w:r>
      <w:r w:rsidR="004F7DA3">
        <w:rPr>
          <w:rFonts w:cstheme="minorHAnsi"/>
        </w:rPr>
        <w:t xml:space="preserve"> </w:t>
      </w:r>
      <w:r w:rsidRPr="00E7738C">
        <w:rPr>
          <w:rFonts w:cstheme="minorHAnsi"/>
        </w:rPr>
        <w:t>packaging legislation in Australia, the UK, France</w:t>
      </w:r>
      <w:r w:rsidR="00AA0D63">
        <w:rPr>
          <w:rFonts w:cstheme="minorHAnsi"/>
        </w:rPr>
        <w:t>,</w:t>
      </w:r>
      <w:r w:rsidRPr="00E7738C">
        <w:rPr>
          <w:rFonts w:cstheme="minorHAnsi"/>
        </w:rPr>
        <w:t xml:space="preserve"> and Ireland</w:t>
      </w:r>
      <w:r w:rsidR="00AA0D63">
        <w:rPr>
          <w:rFonts w:cstheme="minorHAnsi"/>
        </w:rPr>
        <w:t>.</w:t>
      </w:r>
      <w:r w:rsidRPr="00E7738C">
        <w:rPr>
          <w:rStyle w:val="EndnoteReference"/>
          <w:rFonts w:cstheme="minorHAnsi"/>
        </w:rPr>
        <w:endnoteReference w:id="8"/>
      </w:r>
      <w:r w:rsidRPr="00E7738C">
        <w:rPr>
          <w:rFonts w:cstheme="minorHAnsi"/>
        </w:rPr>
        <w:t xml:space="preserve"> </w:t>
      </w:r>
      <w:r w:rsidRPr="00E7738C">
        <w:rPr>
          <w:rFonts w:cstheme="minorHAnsi"/>
          <w:b/>
        </w:rPr>
        <w:t>All these legal claims have been dismissed or struck out</w:t>
      </w:r>
      <w:r w:rsidRPr="00DC705B">
        <w:rPr>
          <w:rFonts w:cstheme="minorHAnsi"/>
        </w:rPr>
        <w:t>.</w:t>
      </w:r>
      <w:r w:rsidRPr="00E7738C">
        <w:rPr>
          <w:rFonts w:cstheme="minorHAnsi"/>
        </w:rPr>
        <w:t xml:space="preserve"> Philip Morris also tried to bring an international investment arbitration claim against Australia</w:t>
      </w:r>
      <w:r w:rsidR="00AA0D63">
        <w:rPr>
          <w:rFonts w:cstheme="minorHAnsi"/>
        </w:rPr>
        <w:t>,</w:t>
      </w:r>
      <w:r w:rsidRPr="00E7738C">
        <w:rPr>
          <w:rFonts w:cstheme="minorHAnsi"/>
        </w:rPr>
        <w:t xml:space="preserve"> which the tribunal dismissed as being an </w:t>
      </w:r>
      <w:r w:rsidR="00AA0D63">
        <w:rPr>
          <w:rFonts w:cstheme="minorHAnsi"/>
        </w:rPr>
        <w:t>“</w:t>
      </w:r>
      <w:r w:rsidRPr="00E7738C">
        <w:rPr>
          <w:rFonts w:cstheme="minorHAnsi"/>
        </w:rPr>
        <w:t>abuse of rights</w:t>
      </w:r>
      <w:r w:rsidR="00AA0D63">
        <w:rPr>
          <w:rFonts w:cstheme="minorHAnsi"/>
        </w:rPr>
        <w:t>.”</w:t>
      </w:r>
      <w:r w:rsidRPr="00E7738C">
        <w:rPr>
          <w:rStyle w:val="EndnoteReference"/>
          <w:rFonts w:cstheme="minorHAnsi"/>
        </w:rPr>
        <w:endnoteReference w:id="9"/>
      </w:r>
      <w:r w:rsidRPr="00E7738C">
        <w:rPr>
          <w:rFonts w:cstheme="minorHAnsi"/>
        </w:rPr>
        <w:t xml:space="preserve"> </w:t>
      </w:r>
    </w:p>
    <w:sectPr w:rsidR="00E7738C" w:rsidSect="004E6CEA">
      <w:endnotePr>
        <w:numFmt w:val="decimal"/>
      </w:endnotePr>
      <w:pgSz w:w="11906" w:h="16838"/>
      <w:pgMar w:top="568" w:right="707"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9FC97" w14:textId="77777777" w:rsidR="002E7E24" w:rsidRDefault="002E7E24" w:rsidP="00FE66FF">
      <w:pPr>
        <w:spacing w:after="0" w:line="240" w:lineRule="auto"/>
      </w:pPr>
      <w:r>
        <w:separator/>
      </w:r>
    </w:p>
  </w:endnote>
  <w:endnote w:type="continuationSeparator" w:id="0">
    <w:p w14:paraId="5C195551" w14:textId="77777777" w:rsidR="002E7E24" w:rsidRDefault="002E7E24" w:rsidP="00FE66FF">
      <w:pPr>
        <w:spacing w:after="0" w:line="240" w:lineRule="auto"/>
      </w:pPr>
      <w:r>
        <w:continuationSeparator/>
      </w:r>
    </w:p>
  </w:endnote>
  <w:endnote w:id="1">
    <w:p w14:paraId="245EB520" w14:textId="7C7027BE" w:rsidR="000D5380" w:rsidRPr="00E45A8E" w:rsidRDefault="000D5380" w:rsidP="00FE66FF">
      <w:pPr>
        <w:pStyle w:val="EndnoteText"/>
        <w:rPr>
          <w:sz w:val="18"/>
          <w:szCs w:val="18"/>
        </w:rPr>
      </w:pPr>
      <w:r w:rsidRPr="00E45A8E">
        <w:rPr>
          <w:rStyle w:val="EndnoteReference"/>
          <w:sz w:val="18"/>
          <w:szCs w:val="18"/>
        </w:rPr>
        <w:endnoteRef/>
      </w:r>
      <w:r w:rsidRPr="00E45A8E">
        <w:rPr>
          <w:sz w:val="18"/>
          <w:szCs w:val="18"/>
        </w:rPr>
        <w:t xml:space="preserve"> </w:t>
      </w:r>
      <w:r>
        <w:rPr>
          <w:sz w:val="18"/>
          <w:szCs w:val="18"/>
        </w:rPr>
        <w:t xml:space="preserve">M. </w:t>
      </w:r>
      <w:r w:rsidRPr="00E45A8E">
        <w:rPr>
          <w:sz w:val="18"/>
          <w:szCs w:val="18"/>
        </w:rPr>
        <w:t>Wakefield et al</w:t>
      </w:r>
      <w:r>
        <w:rPr>
          <w:sz w:val="18"/>
          <w:szCs w:val="18"/>
        </w:rPr>
        <w:t>.</w:t>
      </w:r>
      <w:r w:rsidRPr="00E45A8E">
        <w:rPr>
          <w:sz w:val="18"/>
          <w:szCs w:val="18"/>
        </w:rPr>
        <w:t xml:space="preserve"> The cigarette pack as image: new evidence from tobacco industry documents</w:t>
      </w:r>
      <w:r>
        <w:rPr>
          <w:sz w:val="18"/>
          <w:szCs w:val="18"/>
        </w:rPr>
        <w:t xml:space="preserve">. </w:t>
      </w:r>
      <w:r w:rsidRPr="00DC705B">
        <w:rPr>
          <w:i/>
          <w:sz w:val="18"/>
          <w:szCs w:val="18"/>
        </w:rPr>
        <w:t>Tobacco Control</w:t>
      </w:r>
      <w:r w:rsidRPr="00E45A8E">
        <w:rPr>
          <w:sz w:val="18"/>
          <w:szCs w:val="18"/>
        </w:rPr>
        <w:t>. 11(suppl.1):i73−i80</w:t>
      </w:r>
      <w:r>
        <w:rPr>
          <w:sz w:val="18"/>
          <w:szCs w:val="18"/>
        </w:rPr>
        <w:t>,</w:t>
      </w:r>
      <w:r w:rsidRPr="00E45A8E">
        <w:rPr>
          <w:sz w:val="18"/>
          <w:szCs w:val="18"/>
        </w:rPr>
        <w:t xml:space="preserve"> </w:t>
      </w:r>
      <w:r>
        <w:rPr>
          <w:sz w:val="18"/>
          <w:szCs w:val="18"/>
        </w:rPr>
        <w:t xml:space="preserve">2002. Available from: </w:t>
      </w:r>
      <w:hyperlink r:id="rId1" w:history="1">
        <w:r w:rsidRPr="00E45A8E">
          <w:rPr>
            <w:rStyle w:val="Hyperlink"/>
            <w:sz w:val="18"/>
            <w:szCs w:val="18"/>
          </w:rPr>
          <w:t>http://tobaccocontrol.bmj.com/content/11/suppl_1/i73.full</w:t>
        </w:r>
      </w:hyperlink>
      <w:r>
        <w:rPr>
          <w:rStyle w:val="Hyperlink"/>
          <w:sz w:val="18"/>
          <w:szCs w:val="18"/>
        </w:rPr>
        <w:t>.</w:t>
      </w:r>
    </w:p>
  </w:endnote>
  <w:endnote w:id="2">
    <w:p w14:paraId="60575E98" w14:textId="3C35FA15" w:rsidR="000D5380" w:rsidRPr="00E45A8E" w:rsidRDefault="000D5380" w:rsidP="00E7738C">
      <w:pPr>
        <w:pStyle w:val="EndnoteText"/>
        <w:rPr>
          <w:sz w:val="18"/>
          <w:szCs w:val="18"/>
        </w:rPr>
      </w:pPr>
      <w:r w:rsidRPr="00E45A8E">
        <w:rPr>
          <w:rStyle w:val="EndnoteReference"/>
          <w:sz w:val="18"/>
          <w:szCs w:val="18"/>
        </w:rPr>
        <w:endnoteRef/>
      </w:r>
      <w:r w:rsidRPr="00E45A8E">
        <w:rPr>
          <w:sz w:val="18"/>
          <w:szCs w:val="18"/>
        </w:rPr>
        <w:t xml:space="preserve"> An up</w:t>
      </w:r>
      <w:r>
        <w:rPr>
          <w:sz w:val="18"/>
          <w:szCs w:val="18"/>
        </w:rPr>
        <w:t>-</w:t>
      </w:r>
      <w:r w:rsidRPr="00E45A8E">
        <w:rPr>
          <w:sz w:val="18"/>
          <w:szCs w:val="18"/>
        </w:rPr>
        <w:t>to</w:t>
      </w:r>
      <w:r>
        <w:rPr>
          <w:sz w:val="18"/>
          <w:szCs w:val="18"/>
        </w:rPr>
        <w:t>-</w:t>
      </w:r>
      <w:r w:rsidRPr="00E45A8E">
        <w:rPr>
          <w:sz w:val="18"/>
          <w:szCs w:val="18"/>
        </w:rPr>
        <w:t xml:space="preserve">date list of countries adopting legislation or considering the policy </w:t>
      </w:r>
      <w:r>
        <w:rPr>
          <w:sz w:val="18"/>
          <w:szCs w:val="18"/>
        </w:rPr>
        <w:t>is available from</w:t>
      </w:r>
      <w:r w:rsidRPr="00E45A8E">
        <w:rPr>
          <w:sz w:val="18"/>
          <w:szCs w:val="18"/>
        </w:rPr>
        <w:t xml:space="preserve">: </w:t>
      </w:r>
      <w:hyperlink r:id="rId2" w:history="1">
        <w:r w:rsidRPr="00E45A8E">
          <w:rPr>
            <w:rStyle w:val="Hyperlink"/>
            <w:sz w:val="18"/>
            <w:szCs w:val="18"/>
          </w:rPr>
          <w:t>http://global.tobaccofreekids.org/files/pdfs/en/standardized_packaging_developments_en.pdf</w:t>
        </w:r>
      </w:hyperlink>
      <w:r>
        <w:rPr>
          <w:sz w:val="18"/>
          <w:szCs w:val="18"/>
        </w:rPr>
        <w:t>.</w:t>
      </w:r>
    </w:p>
  </w:endnote>
  <w:endnote w:id="3">
    <w:p w14:paraId="12D4E27C" w14:textId="3C63797C" w:rsidR="000D5380" w:rsidRPr="00E45A8E" w:rsidRDefault="000D5380" w:rsidP="00E7738C">
      <w:pPr>
        <w:pStyle w:val="EndnoteText"/>
        <w:rPr>
          <w:sz w:val="18"/>
          <w:szCs w:val="18"/>
        </w:rPr>
      </w:pPr>
      <w:r w:rsidRPr="00E45A8E">
        <w:rPr>
          <w:rStyle w:val="EndnoteReference"/>
          <w:sz w:val="18"/>
          <w:szCs w:val="18"/>
        </w:rPr>
        <w:endnoteRef/>
      </w:r>
      <w:r w:rsidRPr="00E45A8E">
        <w:rPr>
          <w:sz w:val="18"/>
          <w:szCs w:val="18"/>
        </w:rPr>
        <w:t xml:space="preserve"> </w:t>
      </w:r>
      <w:r>
        <w:rPr>
          <w:sz w:val="18"/>
          <w:szCs w:val="18"/>
        </w:rPr>
        <w:t xml:space="preserve">The </w:t>
      </w:r>
      <w:r w:rsidRPr="00E45A8E">
        <w:rPr>
          <w:sz w:val="18"/>
          <w:szCs w:val="18"/>
        </w:rPr>
        <w:t xml:space="preserve">Cancer Council Victoria (Australia 2011) </w:t>
      </w:r>
      <w:r>
        <w:rPr>
          <w:sz w:val="18"/>
          <w:szCs w:val="18"/>
        </w:rPr>
        <w:t xml:space="preserve">is available from: </w:t>
      </w:r>
      <w:hyperlink r:id="rId3" w:history="1">
        <w:r w:rsidRPr="00E45A8E">
          <w:rPr>
            <w:rStyle w:val="Hyperlink"/>
            <w:sz w:val="18"/>
            <w:szCs w:val="18"/>
          </w:rPr>
          <w:t>http://www.cancervic.org.au/plainfacts/plainfacts-evidence</w:t>
        </w:r>
      </w:hyperlink>
      <w:r>
        <w:rPr>
          <w:sz w:val="18"/>
          <w:szCs w:val="18"/>
        </w:rPr>
        <w:t>; t</w:t>
      </w:r>
      <w:r w:rsidRPr="00E45A8E">
        <w:rPr>
          <w:sz w:val="18"/>
          <w:szCs w:val="18"/>
        </w:rPr>
        <w:t>he Stirling Review (United Kingdom 2012 and updated 2013)</w:t>
      </w:r>
      <w:r>
        <w:rPr>
          <w:sz w:val="18"/>
          <w:szCs w:val="18"/>
        </w:rPr>
        <w:t xml:space="preserve"> is available from:</w:t>
      </w:r>
      <w:r w:rsidRPr="00E45A8E">
        <w:rPr>
          <w:sz w:val="18"/>
          <w:szCs w:val="18"/>
        </w:rPr>
        <w:t xml:space="preserve"> </w:t>
      </w:r>
      <w:hyperlink r:id="rId4" w:history="1">
        <w:r w:rsidRPr="00E45A8E">
          <w:rPr>
            <w:rStyle w:val="Hyperlink"/>
            <w:sz w:val="18"/>
            <w:szCs w:val="18"/>
          </w:rPr>
          <w:t>http://phrc.lshtm.ac.uk/project_2011-2016_006.html</w:t>
        </w:r>
      </w:hyperlink>
      <w:r>
        <w:rPr>
          <w:sz w:val="18"/>
          <w:szCs w:val="18"/>
        </w:rPr>
        <w:t>; t</w:t>
      </w:r>
      <w:r w:rsidRPr="00E45A8E">
        <w:rPr>
          <w:sz w:val="18"/>
          <w:szCs w:val="18"/>
        </w:rPr>
        <w:t>he Chant</w:t>
      </w:r>
      <w:r>
        <w:rPr>
          <w:sz w:val="18"/>
          <w:szCs w:val="18"/>
        </w:rPr>
        <w:t>l</w:t>
      </w:r>
      <w:r w:rsidRPr="00E45A8E">
        <w:rPr>
          <w:sz w:val="18"/>
          <w:szCs w:val="18"/>
        </w:rPr>
        <w:t>er Review (United Kingdom 2014)</w:t>
      </w:r>
      <w:r>
        <w:rPr>
          <w:sz w:val="18"/>
          <w:szCs w:val="18"/>
        </w:rPr>
        <w:t xml:space="preserve"> is available from:</w:t>
      </w:r>
      <w:r w:rsidRPr="00E45A8E">
        <w:rPr>
          <w:sz w:val="18"/>
          <w:szCs w:val="18"/>
        </w:rPr>
        <w:t xml:space="preserve"> </w:t>
      </w:r>
      <w:hyperlink r:id="rId5" w:history="1">
        <w:r w:rsidRPr="00E45A8E">
          <w:rPr>
            <w:rStyle w:val="Hyperlink"/>
            <w:sz w:val="18"/>
            <w:szCs w:val="18"/>
          </w:rPr>
          <w:t>http://www.kcl.ac.uk/health/10035-TSO-2901853-Chantler-Review-ACCESSIBLE.PDF</w:t>
        </w:r>
      </w:hyperlink>
      <w:r>
        <w:rPr>
          <w:rStyle w:val="Hyperlink"/>
          <w:sz w:val="18"/>
          <w:szCs w:val="18"/>
        </w:rPr>
        <w:t xml:space="preserve">; </w:t>
      </w:r>
      <w:r>
        <w:rPr>
          <w:sz w:val="18"/>
          <w:szCs w:val="18"/>
        </w:rPr>
        <w:t xml:space="preserve">and the </w:t>
      </w:r>
      <w:r w:rsidRPr="00E45A8E">
        <w:rPr>
          <w:sz w:val="18"/>
          <w:szCs w:val="18"/>
        </w:rPr>
        <w:t xml:space="preserve"> Hammond Review (Ireland 2014) </w:t>
      </w:r>
      <w:r>
        <w:rPr>
          <w:sz w:val="18"/>
          <w:szCs w:val="18"/>
        </w:rPr>
        <w:t xml:space="preserve">is available from: </w:t>
      </w:r>
      <w:hyperlink r:id="rId6" w:history="1">
        <w:r w:rsidRPr="00E45A8E">
          <w:rPr>
            <w:rStyle w:val="Hyperlink"/>
            <w:sz w:val="18"/>
            <w:szCs w:val="18"/>
          </w:rPr>
          <w:t>http://health.gov.ie/blog/publications/standardised-packaging-d-hammond/</w:t>
        </w:r>
      </w:hyperlink>
      <w:r w:rsidR="00AC7AB7">
        <w:rPr>
          <w:sz w:val="18"/>
          <w:szCs w:val="18"/>
        </w:rPr>
        <w:t xml:space="preserve">; The Cochrane Review (2017) is available from </w:t>
      </w:r>
      <w:hyperlink r:id="rId7" w:history="1">
        <w:r w:rsidR="00AC7AB7" w:rsidRPr="00C22423">
          <w:rPr>
            <w:rStyle w:val="Hyperlink"/>
            <w:sz w:val="18"/>
            <w:szCs w:val="18"/>
          </w:rPr>
          <w:t>http://onlinelibrary.wiley.com/doi/10.1002/14651858.CD011244.pub2/abstract</w:t>
        </w:r>
      </w:hyperlink>
      <w:r w:rsidR="00AC7AB7">
        <w:rPr>
          <w:sz w:val="18"/>
          <w:szCs w:val="18"/>
        </w:rPr>
        <w:t xml:space="preserve">. </w:t>
      </w:r>
    </w:p>
  </w:endnote>
  <w:endnote w:id="4">
    <w:p w14:paraId="0C016CCB" w14:textId="1D48183D" w:rsidR="000D5380" w:rsidRPr="00E45A8E" w:rsidRDefault="000D5380" w:rsidP="00E7738C">
      <w:pPr>
        <w:pStyle w:val="EndnoteText"/>
        <w:rPr>
          <w:sz w:val="18"/>
          <w:szCs w:val="18"/>
        </w:rPr>
      </w:pPr>
      <w:r w:rsidRPr="00E45A8E">
        <w:rPr>
          <w:rStyle w:val="EndnoteReference"/>
          <w:sz w:val="18"/>
          <w:szCs w:val="18"/>
        </w:rPr>
        <w:endnoteRef/>
      </w:r>
      <w:r w:rsidRPr="00E45A8E">
        <w:rPr>
          <w:sz w:val="18"/>
          <w:szCs w:val="18"/>
        </w:rPr>
        <w:t xml:space="preserve"> The Australian government’s Post</w:t>
      </w:r>
      <w:r>
        <w:rPr>
          <w:sz w:val="18"/>
          <w:szCs w:val="18"/>
        </w:rPr>
        <w:t>-</w:t>
      </w:r>
      <w:r w:rsidRPr="00E45A8E">
        <w:rPr>
          <w:sz w:val="18"/>
          <w:szCs w:val="18"/>
        </w:rPr>
        <w:t>Implementation Review was published in February 2016 and conclude</w:t>
      </w:r>
      <w:r>
        <w:rPr>
          <w:sz w:val="18"/>
          <w:szCs w:val="18"/>
        </w:rPr>
        <w:t>d</w:t>
      </w:r>
      <w:r w:rsidRPr="00E45A8E">
        <w:rPr>
          <w:sz w:val="18"/>
          <w:szCs w:val="18"/>
        </w:rPr>
        <w:t xml:space="preserve"> that plain packaging </w:t>
      </w:r>
      <w:r>
        <w:rPr>
          <w:sz w:val="18"/>
          <w:szCs w:val="18"/>
        </w:rPr>
        <w:t>has</w:t>
      </w:r>
      <w:r w:rsidRPr="00E45A8E">
        <w:rPr>
          <w:sz w:val="18"/>
          <w:szCs w:val="18"/>
        </w:rPr>
        <w:t xml:space="preserve"> </w:t>
      </w:r>
      <w:r>
        <w:rPr>
          <w:sz w:val="18"/>
          <w:szCs w:val="18"/>
        </w:rPr>
        <w:t xml:space="preserve">had </w:t>
      </w:r>
      <w:r w:rsidRPr="00E45A8E">
        <w:rPr>
          <w:sz w:val="18"/>
          <w:szCs w:val="18"/>
        </w:rPr>
        <w:t xml:space="preserve">a positive impact. </w:t>
      </w:r>
      <w:r>
        <w:rPr>
          <w:sz w:val="18"/>
          <w:szCs w:val="18"/>
        </w:rPr>
        <w:t xml:space="preserve">Available from: </w:t>
      </w:r>
      <w:hyperlink r:id="rId8" w:history="1">
        <w:r w:rsidRPr="00E45A8E">
          <w:rPr>
            <w:rStyle w:val="Hyperlink"/>
            <w:sz w:val="18"/>
            <w:szCs w:val="18"/>
          </w:rPr>
          <w:t>https://ris.govspace.gov.au/2016/02/26/tobacco-plain-packaging/</w:t>
        </w:r>
      </w:hyperlink>
      <w:r>
        <w:rPr>
          <w:sz w:val="18"/>
          <w:szCs w:val="18"/>
        </w:rPr>
        <w:t>.</w:t>
      </w:r>
    </w:p>
  </w:endnote>
  <w:endnote w:id="5">
    <w:p w14:paraId="2DB74EA3" w14:textId="71D68F42" w:rsidR="000D5380" w:rsidRPr="00E45A8E" w:rsidRDefault="000D5380" w:rsidP="00E7738C">
      <w:pPr>
        <w:pStyle w:val="EndnoteText"/>
        <w:rPr>
          <w:sz w:val="18"/>
          <w:szCs w:val="18"/>
        </w:rPr>
      </w:pPr>
      <w:r w:rsidRPr="00E45A8E">
        <w:rPr>
          <w:rStyle w:val="EndnoteReference"/>
          <w:sz w:val="18"/>
          <w:szCs w:val="18"/>
        </w:rPr>
        <w:endnoteRef/>
      </w:r>
      <w:r w:rsidRPr="00E45A8E">
        <w:rPr>
          <w:sz w:val="18"/>
          <w:szCs w:val="18"/>
        </w:rPr>
        <w:t xml:space="preserve"> </w:t>
      </w:r>
      <w:r>
        <w:rPr>
          <w:sz w:val="18"/>
          <w:szCs w:val="18"/>
        </w:rPr>
        <w:t xml:space="preserve">See </w:t>
      </w:r>
      <w:hyperlink r:id="rId9" w:anchor="axzz48RqRYYOE" w:history="1">
        <w:r w:rsidRPr="00E45A8E">
          <w:rPr>
            <w:rStyle w:val="Hyperlink"/>
            <w:sz w:val="18"/>
            <w:szCs w:val="18"/>
          </w:rPr>
          <w:t>http://www.ft.com/cms/s/0/6248cfee-11e3-11e6-91da-096d89bd2173.html#axzz48RqRYYOE</w:t>
        </w:r>
      </w:hyperlink>
      <w:r>
        <w:rPr>
          <w:sz w:val="18"/>
          <w:szCs w:val="18"/>
        </w:rPr>
        <w:t>.</w:t>
      </w:r>
    </w:p>
  </w:endnote>
  <w:endnote w:id="6">
    <w:p w14:paraId="6C50811A" w14:textId="416395C3" w:rsidR="000D5380" w:rsidRPr="00E45A8E" w:rsidRDefault="000D5380" w:rsidP="00E7738C">
      <w:pPr>
        <w:pStyle w:val="EndnoteText"/>
        <w:rPr>
          <w:sz w:val="18"/>
          <w:szCs w:val="18"/>
        </w:rPr>
      </w:pPr>
      <w:r w:rsidRPr="00E45A8E">
        <w:rPr>
          <w:rStyle w:val="EndnoteReference"/>
          <w:sz w:val="18"/>
          <w:szCs w:val="18"/>
        </w:rPr>
        <w:endnoteRef/>
      </w:r>
      <w:r w:rsidRPr="00E45A8E">
        <w:rPr>
          <w:sz w:val="18"/>
          <w:szCs w:val="18"/>
        </w:rPr>
        <w:t xml:space="preserve"> The judge in the UK High Court case highlighted that the tobacco industry had not disclosed any of its own research and data and heavily critici</w:t>
      </w:r>
      <w:r>
        <w:rPr>
          <w:sz w:val="18"/>
          <w:szCs w:val="18"/>
        </w:rPr>
        <w:t>z</w:t>
      </w:r>
      <w:r w:rsidRPr="00E45A8E">
        <w:rPr>
          <w:sz w:val="18"/>
          <w:szCs w:val="18"/>
        </w:rPr>
        <w:t xml:space="preserve">ed the experts the tobacco companies relied on. </w:t>
      </w:r>
      <w:r w:rsidR="00DC705B">
        <w:rPr>
          <w:sz w:val="18"/>
          <w:szCs w:val="18"/>
        </w:rPr>
        <w:t>See note 8</w:t>
      </w:r>
      <w:r>
        <w:rPr>
          <w:sz w:val="18"/>
          <w:szCs w:val="18"/>
        </w:rPr>
        <w:t xml:space="preserve"> for case reference. </w:t>
      </w:r>
    </w:p>
  </w:endnote>
  <w:endnote w:id="7">
    <w:p w14:paraId="6775C3FF" w14:textId="24752525" w:rsidR="000D5380" w:rsidRPr="00E45A8E" w:rsidRDefault="000D5380" w:rsidP="00E7738C">
      <w:pPr>
        <w:pStyle w:val="EndnoteText"/>
        <w:rPr>
          <w:sz w:val="18"/>
          <w:szCs w:val="18"/>
        </w:rPr>
      </w:pPr>
      <w:r w:rsidRPr="00E45A8E">
        <w:rPr>
          <w:rStyle w:val="EndnoteReference"/>
          <w:sz w:val="18"/>
          <w:szCs w:val="18"/>
        </w:rPr>
        <w:endnoteRef/>
      </w:r>
      <w:r w:rsidRPr="00E45A8E">
        <w:rPr>
          <w:sz w:val="18"/>
          <w:szCs w:val="18"/>
        </w:rPr>
        <w:t xml:space="preserve"> </w:t>
      </w:r>
      <w:r>
        <w:rPr>
          <w:sz w:val="18"/>
          <w:szCs w:val="18"/>
        </w:rPr>
        <w:t>See</w:t>
      </w:r>
      <w:r w:rsidRPr="00E45A8E">
        <w:rPr>
          <w:sz w:val="18"/>
          <w:szCs w:val="18"/>
        </w:rPr>
        <w:t xml:space="preserve"> </w:t>
      </w:r>
      <w:hyperlink r:id="rId10" w:history="1">
        <w:r w:rsidRPr="00E45A8E">
          <w:rPr>
            <w:rStyle w:val="Hyperlink"/>
            <w:sz w:val="18"/>
            <w:szCs w:val="18"/>
          </w:rPr>
          <w:t>http://www.who.int/fctc/guidelines/adopted/guidel_2011/en/</w:t>
        </w:r>
      </w:hyperlink>
      <w:r>
        <w:rPr>
          <w:rStyle w:val="Hyperlink"/>
          <w:sz w:val="18"/>
          <w:szCs w:val="18"/>
        </w:rPr>
        <w:t>.</w:t>
      </w:r>
      <w:r w:rsidRPr="00E45A8E">
        <w:rPr>
          <w:sz w:val="18"/>
          <w:szCs w:val="18"/>
        </w:rPr>
        <w:t xml:space="preserve"> </w:t>
      </w:r>
    </w:p>
  </w:endnote>
  <w:endnote w:id="8">
    <w:p w14:paraId="2BECE9BA" w14:textId="607757B3" w:rsidR="000D5380" w:rsidRPr="00DC705B" w:rsidRDefault="000D5380" w:rsidP="00E7738C">
      <w:pPr>
        <w:pStyle w:val="EndnoteText"/>
        <w:rPr>
          <w:b/>
          <w:sz w:val="24"/>
          <w:szCs w:val="24"/>
        </w:rPr>
      </w:pPr>
      <w:r w:rsidRPr="00E45A8E">
        <w:rPr>
          <w:rStyle w:val="EndnoteReference"/>
          <w:sz w:val="18"/>
          <w:szCs w:val="18"/>
        </w:rPr>
        <w:endnoteRef/>
      </w:r>
      <w:r w:rsidRPr="00E45A8E">
        <w:rPr>
          <w:sz w:val="18"/>
          <w:szCs w:val="18"/>
        </w:rPr>
        <w:t xml:space="preserve"> </w:t>
      </w:r>
      <w:r>
        <w:rPr>
          <w:sz w:val="18"/>
          <w:szCs w:val="18"/>
        </w:rPr>
        <w:t xml:space="preserve"> i) </w:t>
      </w:r>
      <w:r w:rsidRPr="00E45A8E">
        <w:rPr>
          <w:sz w:val="18"/>
          <w:szCs w:val="18"/>
        </w:rPr>
        <w:t xml:space="preserve">R (British American Tobacco &amp; Ors) </w:t>
      </w:r>
      <w:r w:rsidRPr="00DC705B">
        <w:rPr>
          <w:i/>
          <w:sz w:val="18"/>
          <w:szCs w:val="18"/>
        </w:rPr>
        <w:t>v.</w:t>
      </w:r>
      <w:r w:rsidRPr="00E45A8E">
        <w:rPr>
          <w:sz w:val="18"/>
          <w:szCs w:val="18"/>
        </w:rPr>
        <w:t xml:space="preserve"> Secretary of State for Health [</w:t>
      </w:r>
      <w:r>
        <w:rPr>
          <w:sz w:val="18"/>
          <w:szCs w:val="18"/>
        </w:rPr>
        <w:t xml:space="preserve">2016] EWHC 1169 (Admin) ii) </w:t>
      </w:r>
      <w:r w:rsidRPr="00E45A8E">
        <w:rPr>
          <w:sz w:val="18"/>
          <w:szCs w:val="18"/>
        </w:rPr>
        <w:t xml:space="preserve">JT International SA </w:t>
      </w:r>
      <w:r w:rsidRPr="00DC705B">
        <w:rPr>
          <w:i/>
          <w:sz w:val="18"/>
          <w:szCs w:val="18"/>
        </w:rPr>
        <w:t>v.</w:t>
      </w:r>
      <w:r>
        <w:rPr>
          <w:i/>
          <w:sz w:val="18"/>
          <w:szCs w:val="18"/>
        </w:rPr>
        <w:t xml:space="preserve"> </w:t>
      </w:r>
      <w:r w:rsidRPr="00DC705B">
        <w:rPr>
          <w:sz w:val="18"/>
          <w:szCs w:val="18"/>
        </w:rPr>
        <w:t>The</w:t>
      </w:r>
      <w:r w:rsidRPr="00DC705B">
        <w:rPr>
          <w:i/>
          <w:sz w:val="18"/>
          <w:szCs w:val="18"/>
        </w:rPr>
        <w:t xml:space="preserve"> </w:t>
      </w:r>
      <w:r w:rsidRPr="00E45A8E">
        <w:rPr>
          <w:sz w:val="18"/>
          <w:szCs w:val="18"/>
        </w:rPr>
        <w:t>Commonwealth of Australia [2012] HCA 43, High Court of Australia, Order August 15, 2012, Reasons October 5, 2012</w:t>
      </w:r>
      <w:r>
        <w:rPr>
          <w:sz w:val="18"/>
          <w:szCs w:val="18"/>
        </w:rPr>
        <w:t xml:space="preserve"> iii) </w:t>
      </w:r>
      <w:r w:rsidRPr="00B0128C">
        <w:rPr>
          <w:sz w:val="18"/>
          <w:szCs w:val="18"/>
        </w:rPr>
        <w:t xml:space="preserve">CE, </w:t>
      </w:r>
      <w:r>
        <w:rPr>
          <w:sz w:val="18"/>
          <w:szCs w:val="18"/>
        </w:rPr>
        <w:t>December 23,</w:t>
      </w:r>
      <w:r w:rsidRPr="00B0128C">
        <w:rPr>
          <w:sz w:val="18"/>
          <w:szCs w:val="18"/>
        </w:rPr>
        <w:t xml:space="preserve"> 2016, société JT International SA, Société d'exploitation industrielle des tabacs et des allumettes, société Philip Morris France SA et autres</w:t>
      </w:r>
      <w:r>
        <w:rPr>
          <w:sz w:val="18"/>
          <w:szCs w:val="18"/>
        </w:rPr>
        <w:t xml:space="preserve"> </w:t>
      </w:r>
    </w:p>
    <w:p w14:paraId="3ACF411D" w14:textId="5CF0437D" w:rsidR="000D5380" w:rsidRPr="00E45A8E" w:rsidRDefault="000D5380" w:rsidP="00E7738C">
      <w:pPr>
        <w:pStyle w:val="EndnoteText"/>
        <w:rPr>
          <w:sz w:val="18"/>
          <w:szCs w:val="18"/>
        </w:rPr>
      </w:pPr>
      <w:r>
        <w:rPr>
          <w:sz w:val="18"/>
          <w:szCs w:val="18"/>
        </w:rPr>
        <w:t xml:space="preserve">iv) </w:t>
      </w:r>
      <w:r w:rsidRPr="00E45A8E">
        <w:rPr>
          <w:sz w:val="18"/>
          <w:szCs w:val="18"/>
        </w:rPr>
        <w:t xml:space="preserve">JTI </w:t>
      </w:r>
      <w:r w:rsidRPr="00DC705B">
        <w:rPr>
          <w:i/>
          <w:sz w:val="18"/>
          <w:szCs w:val="18"/>
        </w:rPr>
        <w:t>v.</w:t>
      </w:r>
      <w:r w:rsidRPr="00E45A8E">
        <w:rPr>
          <w:sz w:val="18"/>
          <w:szCs w:val="18"/>
        </w:rPr>
        <w:t xml:space="preserve"> Minister for Health, Ireland and the Attorney General  is 2015/2530P</w:t>
      </w:r>
      <w:r>
        <w:rPr>
          <w:sz w:val="18"/>
          <w:szCs w:val="18"/>
        </w:rPr>
        <w:t>.</w:t>
      </w:r>
    </w:p>
  </w:endnote>
  <w:endnote w:id="9">
    <w:p w14:paraId="3C01C662" w14:textId="78512B1F" w:rsidR="000D5380" w:rsidRPr="00E45A8E" w:rsidRDefault="000D5380" w:rsidP="00E7738C">
      <w:pPr>
        <w:pStyle w:val="EndnoteText"/>
        <w:rPr>
          <w:sz w:val="18"/>
          <w:szCs w:val="18"/>
        </w:rPr>
      </w:pPr>
      <w:r w:rsidRPr="00E45A8E">
        <w:rPr>
          <w:rStyle w:val="EndnoteReference"/>
          <w:sz w:val="18"/>
          <w:szCs w:val="18"/>
        </w:rPr>
        <w:endnoteRef/>
      </w:r>
      <w:r w:rsidRPr="00E45A8E">
        <w:rPr>
          <w:sz w:val="18"/>
          <w:szCs w:val="18"/>
        </w:rPr>
        <w:t xml:space="preserve"> </w:t>
      </w:r>
      <w:r>
        <w:rPr>
          <w:sz w:val="18"/>
          <w:szCs w:val="18"/>
        </w:rPr>
        <w:t xml:space="preserve">Philip Morris Asia Limited </w:t>
      </w:r>
      <w:r w:rsidRPr="00DC705B">
        <w:rPr>
          <w:i/>
          <w:sz w:val="18"/>
          <w:szCs w:val="18"/>
        </w:rPr>
        <w:t>v.</w:t>
      </w:r>
      <w:r>
        <w:rPr>
          <w:sz w:val="18"/>
          <w:szCs w:val="18"/>
        </w:rPr>
        <w:t xml:space="preserve"> The Commonwealth of Australia. </w:t>
      </w:r>
      <w:r w:rsidRPr="00E45A8E">
        <w:rPr>
          <w:sz w:val="18"/>
          <w:szCs w:val="18"/>
        </w:rPr>
        <w:t>PCA Case No. 2012-12</w:t>
      </w:r>
      <w:r>
        <w:rPr>
          <w:sz w:val="18"/>
          <w:szCs w:val="18"/>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1C84E" w14:textId="77777777" w:rsidR="002E7E24" w:rsidRDefault="002E7E24" w:rsidP="00FE66FF">
      <w:pPr>
        <w:spacing w:after="0" w:line="240" w:lineRule="auto"/>
      </w:pPr>
      <w:r>
        <w:separator/>
      </w:r>
    </w:p>
  </w:footnote>
  <w:footnote w:type="continuationSeparator" w:id="0">
    <w:p w14:paraId="1063844C" w14:textId="77777777" w:rsidR="002E7E24" w:rsidRDefault="002E7E24" w:rsidP="00FE66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A32A1"/>
    <w:multiLevelType w:val="hybridMultilevel"/>
    <w:tmpl w:val="F9807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CE4375C"/>
    <w:multiLevelType w:val="hybridMultilevel"/>
    <w:tmpl w:val="2AECF8E2"/>
    <w:lvl w:ilvl="0" w:tplc="04090001">
      <w:start w:val="1"/>
      <w:numFmt w:val="bullet"/>
      <w:lvlText w:val=""/>
      <w:lvlJc w:val="left"/>
      <w:pPr>
        <w:ind w:left="6" w:hanging="360"/>
      </w:pPr>
      <w:rPr>
        <w:rFonts w:ascii="Symbol" w:hAnsi="Symbol" w:hint="default"/>
      </w:rPr>
    </w:lvl>
    <w:lvl w:ilvl="1" w:tplc="04090003" w:tentative="1">
      <w:start w:val="1"/>
      <w:numFmt w:val="bullet"/>
      <w:lvlText w:val="o"/>
      <w:lvlJc w:val="left"/>
      <w:pPr>
        <w:ind w:left="726" w:hanging="360"/>
      </w:pPr>
      <w:rPr>
        <w:rFonts w:ascii="Courier New" w:hAnsi="Courier New" w:cs="Courier New" w:hint="default"/>
      </w:rPr>
    </w:lvl>
    <w:lvl w:ilvl="2" w:tplc="04090005" w:tentative="1">
      <w:start w:val="1"/>
      <w:numFmt w:val="bullet"/>
      <w:lvlText w:val=""/>
      <w:lvlJc w:val="left"/>
      <w:pPr>
        <w:ind w:left="1446" w:hanging="360"/>
      </w:pPr>
      <w:rPr>
        <w:rFonts w:ascii="Wingdings" w:hAnsi="Wingdings" w:hint="default"/>
      </w:rPr>
    </w:lvl>
    <w:lvl w:ilvl="3" w:tplc="04090001" w:tentative="1">
      <w:start w:val="1"/>
      <w:numFmt w:val="bullet"/>
      <w:lvlText w:val=""/>
      <w:lvlJc w:val="left"/>
      <w:pPr>
        <w:ind w:left="2166" w:hanging="360"/>
      </w:pPr>
      <w:rPr>
        <w:rFonts w:ascii="Symbol" w:hAnsi="Symbol" w:hint="default"/>
      </w:rPr>
    </w:lvl>
    <w:lvl w:ilvl="4" w:tplc="04090003" w:tentative="1">
      <w:start w:val="1"/>
      <w:numFmt w:val="bullet"/>
      <w:lvlText w:val="o"/>
      <w:lvlJc w:val="left"/>
      <w:pPr>
        <w:ind w:left="2886" w:hanging="360"/>
      </w:pPr>
      <w:rPr>
        <w:rFonts w:ascii="Courier New" w:hAnsi="Courier New" w:cs="Courier New" w:hint="default"/>
      </w:rPr>
    </w:lvl>
    <w:lvl w:ilvl="5" w:tplc="04090005" w:tentative="1">
      <w:start w:val="1"/>
      <w:numFmt w:val="bullet"/>
      <w:lvlText w:val=""/>
      <w:lvlJc w:val="left"/>
      <w:pPr>
        <w:ind w:left="3606" w:hanging="360"/>
      </w:pPr>
      <w:rPr>
        <w:rFonts w:ascii="Wingdings" w:hAnsi="Wingdings" w:hint="default"/>
      </w:rPr>
    </w:lvl>
    <w:lvl w:ilvl="6" w:tplc="04090001" w:tentative="1">
      <w:start w:val="1"/>
      <w:numFmt w:val="bullet"/>
      <w:lvlText w:val=""/>
      <w:lvlJc w:val="left"/>
      <w:pPr>
        <w:ind w:left="4326" w:hanging="360"/>
      </w:pPr>
      <w:rPr>
        <w:rFonts w:ascii="Symbol" w:hAnsi="Symbol" w:hint="default"/>
      </w:rPr>
    </w:lvl>
    <w:lvl w:ilvl="7" w:tplc="04090003" w:tentative="1">
      <w:start w:val="1"/>
      <w:numFmt w:val="bullet"/>
      <w:lvlText w:val="o"/>
      <w:lvlJc w:val="left"/>
      <w:pPr>
        <w:ind w:left="5046" w:hanging="360"/>
      </w:pPr>
      <w:rPr>
        <w:rFonts w:ascii="Courier New" w:hAnsi="Courier New" w:cs="Courier New" w:hint="default"/>
      </w:rPr>
    </w:lvl>
    <w:lvl w:ilvl="8" w:tplc="04090005" w:tentative="1">
      <w:start w:val="1"/>
      <w:numFmt w:val="bullet"/>
      <w:lvlText w:val=""/>
      <w:lvlJc w:val="left"/>
      <w:pPr>
        <w:ind w:left="5766" w:hanging="360"/>
      </w:pPr>
      <w:rPr>
        <w:rFonts w:ascii="Wingdings" w:hAnsi="Wingdings" w:hint="default"/>
      </w:rPr>
    </w:lvl>
  </w:abstractNum>
  <w:abstractNum w:abstractNumId="2" w15:restartNumberingAfterBreak="0">
    <w:nsid w:val="7A93295B"/>
    <w:multiLevelType w:val="hybridMultilevel"/>
    <w:tmpl w:val="A97203A6"/>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6FF"/>
    <w:rsid w:val="000D5380"/>
    <w:rsid w:val="00183CBC"/>
    <w:rsid w:val="001A4072"/>
    <w:rsid w:val="001C7E1C"/>
    <w:rsid w:val="00222765"/>
    <w:rsid w:val="002E7E24"/>
    <w:rsid w:val="00467830"/>
    <w:rsid w:val="004D60B8"/>
    <w:rsid w:val="004E6CEA"/>
    <w:rsid w:val="004F64E4"/>
    <w:rsid w:val="004F7DA3"/>
    <w:rsid w:val="00503514"/>
    <w:rsid w:val="006943B6"/>
    <w:rsid w:val="00847DC6"/>
    <w:rsid w:val="0090198D"/>
    <w:rsid w:val="00A5547E"/>
    <w:rsid w:val="00A830AC"/>
    <w:rsid w:val="00AA0D63"/>
    <w:rsid w:val="00AC7AB7"/>
    <w:rsid w:val="00B0421A"/>
    <w:rsid w:val="00CA6245"/>
    <w:rsid w:val="00CB1EA6"/>
    <w:rsid w:val="00D36A0A"/>
    <w:rsid w:val="00D55B81"/>
    <w:rsid w:val="00DC705B"/>
    <w:rsid w:val="00E23C6D"/>
    <w:rsid w:val="00E7738C"/>
    <w:rsid w:val="00FC6ECF"/>
    <w:rsid w:val="00FE66F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130493AB"/>
  <w15:docId w15:val="{EA41F8CE-4071-4EF3-A680-7EE805EBA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6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6FF"/>
    <w:pPr>
      <w:ind w:left="720"/>
      <w:contextualSpacing/>
    </w:pPr>
  </w:style>
  <w:style w:type="paragraph" w:styleId="EndnoteText">
    <w:name w:val="endnote text"/>
    <w:basedOn w:val="Normal"/>
    <w:link w:val="EndnoteTextChar"/>
    <w:uiPriority w:val="99"/>
    <w:semiHidden/>
    <w:unhideWhenUsed/>
    <w:rsid w:val="00FE66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E66FF"/>
    <w:rPr>
      <w:sz w:val="20"/>
      <w:szCs w:val="20"/>
    </w:rPr>
  </w:style>
  <w:style w:type="character" w:styleId="EndnoteReference">
    <w:name w:val="endnote reference"/>
    <w:basedOn w:val="DefaultParagraphFont"/>
    <w:uiPriority w:val="99"/>
    <w:semiHidden/>
    <w:unhideWhenUsed/>
    <w:rsid w:val="00FE66FF"/>
    <w:rPr>
      <w:vertAlign w:val="superscript"/>
    </w:rPr>
  </w:style>
  <w:style w:type="table" w:styleId="TableGrid">
    <w:name w:val="Table Grid"/>
    <w:basedOn w:val="TableNormal"/>
    <w:uiPriority w:val="39"/>
    <w:rsid w:val="00FE6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E66FF"/>
    <w:rPr>
      <w:color w:val="0000FF"/>
      <w:u w:val="single"/>
    </w:rPr>
  </w:style>
  <w:style w:type="paragraph" w:styleId="NoSpacing">
    <w:name w:val="No Spacing"/>
    <w:uiPriority w:val="1"/>
    <w:qFormat/>
    <w:rsid w:val="00FE66FF"/>
    <w:pPr>
      <w:spacing w:after="0" w:line="240" w:lineRule="auto"/>
    </w:pPr>
  </w:style>
  <w:style w:type="paragraph" w:styleId="BalloonText">
    <w:name w:val="Balloon Text"/>
    <w:basedOn w:val="Normal"/>
    <w:link w:val="BalloonTextChar"/>
    <w:uiPriority w:val="99"/>
    <w:semiHidden/>
    <w:unhideWhenUsed/>
    <w:rsid w:val="00FC6EC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6EC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ris.govspace.gov.au/2016/02/26/tobacco-plain-packaging/" TargetMode="External"/><Relationship Id="rId3" Type="http://schemas.openxmlformats.org/officeDocument/2006/relationships/hyperlink" Target="http://www.cancervic.org.au/plainfacts/plainfacts-evidence" TargetMode="External"/><Relationship Id="rId7" Type="http://schemas.openxmlformats.org/officeDocument/2006/relationships/hyperlink" Target="http://onlinelibrary.wiley.com/doi/10.1002/14651858.CD011244.pub2/abstract" TargetMode="External"/><Relationship Id="rId2" Type="http://schemas.openxmlformats.org/officeDocument/2006/relationships/hyperlink" Target="http://global.tobaccofreekids.org/files/pdfs/en/standardized_packaging_developments_en.pdf" TargetMode="External"/><Relationship Id="rId1" Type="http://schemas.openxmlformats.org/officeDocument/2006/relationships/hyperlink" Target="http://tobaccocontrol.bmj.com/content/11/suppl_1/i73.full" TargetMode="External"/><Relationship Id="rId6" Type="http://schemas.openxmlformats.org/officeDocument/2006/relationships/hyperlink" Target="http://health.gov.ie/blog/publications/standardised-packaging-d-hammond/" TargetMode="External"/><Relationship Id="rId5" Type="http://schemas.openxmlformats.org/officeDocument/2006/relationships/hyperlink" Target="http://www.kcl.ac.uk/health/10035-TSO-2901853-Chantler-Review-ACCESSIBLE.PDF" TargetMode="External"/><Relationship Id="rId10" Type="http://schemas.openxmlformats.org/officeDocument/2006/relationships/hyperlink" Target="http://www.who.int/fctc/guidelines/adopted/guidel_2011/en/" TargetMode="External"/><Relationship Id="rId4" Type="http://schemas.openxmlformats.org/officeDocument/2006/relationships/hyperlink" Target="http://phrc.lshtm.ac.uk/project_2011-2016_006.html" TargetMode="External"/><Relationship Id="rId9" Type="http://schemas.openxmlformats.org/officeDocument/2006/relationships/hyperlink" Target="http://www.ft.com/cms/s/0/6248cfee-11e3-11e6-91da-096d89bd217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DFE91-B733-4797-87A2-65A80447D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Eckford</dc:creator>
  <cp:keywords/>
  <dc:description/>
  <cp:lastModifiedBy>Robert Eckford</cp:lastModifiedBy>
  <cp:revision>2</cp:revision>
  <dcterms:created xsi:type="dcterms:W3CDTF">2017-06-08T20:25:00Z</dcterms:created>
  <dcterms:modified xsi:type="dcterms:W3CDTF">2017-06-08T20:25:00Z</dcterms:modified>
</cp:coreProperties>
</file>