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731" w:rsidRDefault="000C0DAB" w:rsidP="00FE66FF">
      <w:pPr>
        <w:spacing w:after="0"/>
        <w:rPr>
          <w:rFonts w:ascii="Arial" w:hAnsi="Arial" w:cs="Arial"/>
          <w:color w:val="D0CECE" w:themeColor="background2" w:themeShade="E6"/>
          <w:sz w:val="40"/>
          <w:szCs w:val="40"/>
        </w:rPr>
      </w:pPr>
      <w:r>
        <w:rPr>
          <w:rFonts w:ascii="Arial" w:hAnsi="Arial"/>
          <w:noProof/>
          <w:color w:val="D0CECE" w:themeColor="background2" w:themeShade="E6"/>
          <w:sz w:val="40"/>
          <w:szCs w:val="40"/>
          <w:lang w:val="en-US"/>
        </w:rPr>
        <mc:AlternateContent>
          <mc:Choice Requires="wps">
            <w:drawing>
              <wp:anchor distT="0" distB="0" distL="114300" distR="114300" simplePos="0" relativeHeight="251621888" behindDoc="1" locked="0" layoutInCell="1" allowOverlap="1">
                <wp:simplePos x="0" y="0"/>
                <wp:positionH relativeFrom="column">
                  <wp:posOffset>233680</wp:posOffset>
                </wp:positionH>
                <wp:positionV relativeFrom="paragraph">
                  <wp:posOffset>107315</wp:posOffset>
                </wp:positionV>
                <wp:extent cx="6135370" cy="122301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5370" cy="1223010"/>
                        </a:xfrm>
                        <a:prstGeom prst="rect">
                          <a:avLst/>
                        </a:prstGeom>
                        <a:solidFill>
                          <a:srgbClr val="726E52"/>
                        </a:solidFill>
                        <a:ln w="12700" cap="flat" cmpd="sng" algn="ctr">
                          <a:noFill/>
                          <a:prstDash val="solid"/>
                          <a:miter lim="800000"/>
                        </a:ln>
                        <a:effectLst/>
                      </wps:spPr>
                      <wps:txbx>
                        <w:txbxContent>
                          <w:p w:rsidR="000D5380" w:rsidRDefault="000D5380" w:rsidP="00FE66F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8.4pt;margin-top:8.45pt;width:483.1pt;height:96.3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" fillcolor="#726e52" stroked="f" strokeweight="1pt">
                <v:path arrowok="t"/>
                <v:textbox>
                  <w:txbxContent>
                    <w:p w:rsidR="000D5380" w:rsidRDefault="000D5380" w:rsidP="00FE66FF"/>
                  </w:txbxContent>
                </v:textbox>
              </v:rect>
            </w:pict>
          </mc:Fallback>
        </mc:AlternateContent>
      </w:r>
    </w:p>
    <w:p w:rsidR="00FB0F7A" w:rsidRPr="00FB0F7A" w:rsidRDefault="00FB0F7A" w:rsidP="00BC1B15">
      <w:pPr>
        <w:spacing w:after="0"/>
        <w:ind w:left="567"/>
        <w:rPr>
          <w:rFonts w:ascii="Arial" w:hAnsi="Arial" w:cs="Arial"/>
          <w:sz w:val="40"/>
          <w:szCs w:val="40"/>
        </w:rPr>
      </w:pPr>
      <w:r>
        <w:rPr>
          <w:rFonts w:ascii="Arial" w:hAnsi="Arial"/>
          <w:sz w:val="40"/>
          <w:szCs w:val="40"/>
        </w:rPr>
        <w:t>Document d’information 1</w:t>
      </w:r>
    </w:p>
    <w:p w:rsidR="00FE66FF" w:rsidRPr="00BC1B15" w:rsidRDefault="00FE66FF" w:rsidP="00BC1B15">
      <w:pPr>
        <w:spacing w:after="0"/>
        <w:ind w:left="567"/>
        <w:rPr>
          <w:rFonts w:ascii="Arial" w:hAnsi="Arial" w:cs="Arial"/>
          <w:color w:val="FFFFFF" w:themeColor="background1"/>
          <w:sz w:val="40"/>
          <w:szCs w:val="40"/>
        </w:rPr>
      </w:pPr>
      <w:r>
        <w:rPr>
          <w:rFonts w:ascii="Arial" w:hAnsi="Arial"/>
          <w:color w:val="FFFFFF" w:themeColor="background1"/>
          <w:sz w:val="40"/>
          <w:szCs w:val="40"/>
        </w:rPr>
        <w:t>LE CONDITIONNEMENT NEUTRE :</w:t>
      </w:r>
    </w:p>
    <w:p w:rsidR="00D80731" w:rsidRPr="00BC1B15" w:rsidRDefault="0068433E" w:rsidP="00BC1B15">
      <w:pPr>
        <w:ind w:left="567"/>
        <w:rPr>
          <w:rFonts w:ascii="Arial" w:hAnsi="Arial" w:cs="Arial"/>
          <w:color w:val="FFFFFF" w:themeColor="background1"/>
          <w:sz w:val="40"/>
          <w:szCs w:val="40"/>
        </w:rPr>
      </w:pPr>
      <w:r>
        <w:rPr>
          <w:rFonts w:ascii="Arial" w:hAnsi="Arial"/>
          <w:color w:val="FFFFFF" w:themeColor="background1"/>
          <w:sz w:val="40"/>
          <w:szCs w:val="40"/>
        </w:rPr>
        <w:t>de quoi s’agit-il</w:t>
      </w:r>
      <w:r w:rsidR="00FE66FF">
        <w:rPr>
          <w:rFonts w:ascii="Arial" w:hAnsi="Arial"/>
          <w:color w:val="FFFFFF" w:themeColor="background1"/>
          <w:sz w:val="40"/>
          <w:szCs w:val="40"/>
        </w:rPr>
        <w:t xml:space="preserve"> pourquoi est-ce nécessaire ?</w:t>
      </w:r>
    </w:p>
    <w:p w:rsidR="002F6E7D" w:rsidRDefault="000C0DAB" w:rsidP="00BC1B15">
      <w:pPr>
        <w:pStyle w:val="ListParagraph"/>
        <w:tabs>
          <w:tab w:val="left" w:pos="6663"/>
        </w:tabs>
        <w:spacing w:before="480" w:after="80" w:line="240" w:lineRule="auto"/>
        <w:ind w:left="567" w:right="2540"/>
        <w:rPr>
          <w:rFonts w:ascii="Arial" w:hAnsi="Arial" w:cs="Arial"/>
          <w:color w:val="726E52"/>
          <w:sz w:val="32"/>
          <w:szCs w:val="32"/>
        </w:rPr>
      </w:pPr>
      <w:r>
        <w:rPr>
          <w:noProof/>
          <w:lang w:val="en-US"/>
        </w:rPr>
        <w:drawing>
          <wp:anchor distT="0" distB="0" distL="114300" distR="114300" simplePos="0" relativeHeight="251676672" behindDoc="0" locked="0" layoutInCell="1" allowOverlap="1">
            <wp:simplePos x="0" y="0"/>
            <wp:positionH relativeFrom="column">
              <wp:posOffset>4046855</wp:posOffset>
            </wp:positionH>
            <wp:positionV relativeFrom="paragraph">
              <wp:posOffset>247015</wp:posOffset>
            </wp:positionV>
            <wp:extent cx="1076960" cy="1746885"/>
            <wp:effectExtent l="0" t="0" r="8890" b="5715"/>
            <wp:wrapNone/>
            <wp:docPr id="1" name="Picture 5" descr="Gauloises_CGC_France_RED_KS_Persp_closed_600dpi_isoV214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uloises_CGC_France_RED_KS_Persp_closed_600dpi_isoV21408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960" cy="1746885"/>
                    </a:xfrm>
                    <a:prstGeom prst="rect">
                      <a:avLst/>
                    </a:prstGeom>
                    <a:noFill/>
                  </pic:spPr>
                </pic:pic>
              </a:graphicData>
            </a:graphic>
            <wp14:sizeRelH relativeFrom="page">
              <wp14:pctWidth>0</wp14:pctWidth>
            </wp14:sizeRelH>
            <wp14:sizeRelV relativeFrom="page">
              <wp14:pctHeight>0</wp14:pctHeight>
            </wp14:sizeRelV>
          </wp:anchor>
        </w:drawing>
      </w:r>
      <w:r w:rsidR="00E41B78">
        <w:rPr>
          <w:rFonts w:ascii="Arial" w:hAnsi="Arial"/>
          <w:noProof/>
          <w:lang w:val="en-US"/>
        </w:rPr>
        <w:drawing>
          <wp:anchor distT="0" distB="0" distL="114300" distR="114300" simplePos="0" relativeHeight="251638272" behindDoc="0" locked="0" layoutInCell="1" allowOverlap="1">
            <wp:simplePos x="0" y="0"/>
            <wp:positionH relativeFrom="column">
              <wp:posOffset>5435600</wp:posOffset>
            </wp:positionH>
            <wp:positionV relativeFrom="paragraph">
              <wp:posOffset>300355</wp:posOffset>
            </wp:positionV>
            <wp:extent cx="1251194" cy="1670050"/>
            <wp:effectExtent l="0" t="0" r="6350" b="6350"/>
            <wp:wrapNone/>
            <wp:docPr id="4" name="Picture 4" descr="C:\Users\Reckford\Documents\TFK\SPOT international\Toolkit\images\VisuelGauloi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ckford\Documents\TFK\SPOT international\Toolkit\images\VisuelGaulois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171" cy="1676693"/>
                    </a:xfrm>
                    <a:prstGeom prst="rect">
                      <a:avLst/>
                    </a:prstGeom>
                    <a:noFill/>
                    <a:ln>
                      <a:noFill/>
                    </a:ln>
                  </pic:spPr>
                </pic:pic>
              </a:graphicData>
            </a:graphic>
          </wp:anchor>
        </w:drawing>
      </w:r>
    </w:p>
    <w:p w:rsidR="00FE66FF" w:rsidRPr="00FB0F7A" w:rsidRDefault="00FE66FF" w:rsidP="00FB0F7A">
      <w:pPr>
        <w:pStyle w:val="ListParagraph"/>
        <w:tabs>
          <w:tab w:val="left" w:pos="6663"/>
        </w:tabs>
        <w:spacing w:before="480" w:after="120" w:line="240" w:lineRule="auto"/>
        <w:ind w:left="567" w:right="4242"/>
        <w:rPr>
          <w:rFonts w:ascii="Arial" w:hAnsi="Arial" w:cs="Arial"/>
          <w:b/>
          <w:color w:val="726E52"/>
          <w:sz w:val="32"/>
          <w:szCs w:val="32"/>
        </w:rPr>
      </w:pPr>
      <w:r>
        <w:rPr>
          <w:rFonts w:ascii="Arial" w:hAnsi="Arial"/>
          <w:b/>
          <w:color w:val="726E52"/>
          <w:sz w:val="32"/>
          <w:szCs w:val="32"/>
        </w:rPr>
        <w:t>Qu’est-ce que le conditionnement neutre des produits du tabac ?</w:t>
      </w:r>
    </w:p>
    <w:p w:rsidR="00BC1B15" w:rsidRPr="00BC1B15" w:rsidRDefault="000C0DAB" w:rsidP="00BC1B15">
      <w:pPr>
        <w:tabs>
          <w:tab w:val="left" w:pos="6663"/>
        </w:tabs>
        <w:spacing w:after="360"/>
        <w:ind w:left="567" w:right="4383"/>
        <w:jc w:val="both"/>
        <w:rPr>
          <w:rFonts w:ascii="Arial" w:hAnsi="Arial" w:cs="Arial"/>
          <w:sz w:val="20"/>
          <w:szCs w:val="20"/>
        </w:rPr>
      </w:pPr>
      <w:r>
        <w:rPr>
          <w:rFonts w:ascii="Arial" w:hAnsi="Arial"/>
          <w:noProof/>
          <w:lang w:val="en-US"/>
        </w:rPr>
        <mc:AlternateContent>
          <mc:Choice Requires="wps">
            <w:drawing>
              <wp:anchor distT="45720" distB="45720" distL="114300" distR="114300" simplePos="0" relativeHeight="251651584" behindDoc="0" locked="0" layoutInCell="1" allowOverlap="1">
                <wp:simplePos x="0" y="0"/>
                <wp:positionH relativeFrom="column">
                  <wp:posOffset>5379720</wp:posOffset>
                </wp:positionH>
                <wp:positionV relativeFrom="paragraph">
                  <wp:posOffset>1092835</wp:posOffset>
                </wp:positionV>
                <wp:extent cx="1249680" cy="637540"/>
                <wp:effectExtent l="0" t="0" r="2667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637540"/>
                        </a:xfrm>
                        <a:prstGeom prst="rect">
                          <a:avLst/>
                        </a:prstGeom>
                        <a:solidFill>
                          <a:schemeClr val="bg1"/>
                        </a:solidFill>
                        <a:ln w="12700">
                          <a:solidFill>
                            <a:srgbClr val="666633"/>
                          </a:solidFill>
                          <a:miter lim="800000"/>
                          <a:headEnd/>
                          <a:tailEnd/>
                        </a:ln>
                      </wps:spPr>
                      <wps:txbx>
                        <w:txbxContent>
                          <w:p w:rsidR="000D5380" w:rsidRPr="00D80731" w:rsidRDefault="000D5380" w:rsidP="00FE66FF">
                            <w:pPr>
                              <w:rPr>
                                <w:sz w:val="16"/>
                                <w:szCs w:val="18"/>
                              </w:rPr>
                            </w:pPr>
                            <w:r>
                              <w:rPr>
                                <w:sz w:val="16"/>
                                <w:szCs w:val="18"/>
                              </w:rPr>
                              <w:t xml:space="preserve">Exemples de paquets de cigarettes Gauloises en France avant et après le conditionnement neutre.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423.6pt;margin-top:86.05pt;width:98.4pt;height:50.2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" fillcolor="white [3212]" strokecolor="#663" strokeweight="1pt">
                <v:textbox>
                  <w:txbxContent>
                    <w:p w:rsidR="000D5380" w:rsidRPr="00D80731" w:rsidRDefault="000D5380" w:rsidP="00FE66FF">
                      <w:pPr>
                        <w:rPr>
                          <w:sz w:val="16"/>
                          <w:szCs w:val="18"/>
                        </w:rPr>
                      </w:pPr>
                      <w:r>
                        <w:rPr>
                          <w:sz w:val="16"/>
                          <w:szCs w:val="18"/>
                        </w:rPr>
                        <w:t xml:space="preserve">Exemples de paquets de cigarettes Gauloises en France avant et après le conditionnement neutre. </w:t>
                      </w:r>
                    </w:p>
                  </w:txbxContent>
                </v:textbox>
                <w10:wrap type="square"/>
              </v:shape>
            </w:pict>
          </mc:Fallback>
        </mc:AlternateContent>
      </w:r>
      <w:r w:rsidR="00FE66FF">
        <w:rPr>
          <w:rFonts w:ascii="Arial" w:hAnsi="Arial"/>
          <w:sz w:val="20"/>
          <w:szCs w:val="20"/>
        </w:rPr>
        <w:t>Le conditionnement neutre des produits du tabac est une politique de bon sens qui suppriment les caractéristiques promotionnelles, marketing e</w:t>
      </w:r>
      <w:r w:rsidR="0068433E">
        <w:rPr>
          <w:rFonts w:ascii="Arial" w:hAnsi="Arial"/>
          <w:sz w:val="20"/>
          <w:szCs w:val="20"/>
        </w:rPr>
        <w:t>t publicitaires des paquets de cigarettes</w:t>
      </w:r>
      <w:r w:rsidR="00FE66FF">
        <w:rPr>
          <w:rFonts w:ascii="Arial" w:hAnsi="Arial"/>
          <w:sz w:val="20"/>
          <w:szCs w:val="20"/>
        </w:rPr>
        <w:t>, mais conservent les mises en garde sanitaires, les timbres fiscaux et les autres éléments exigés par le gouvernement. La plupart des gouvernements ont augmenté la taille des mises en garde sanitaires au moment de la mise œuvre du conditionnement neutre. Les principaux éléments d'une politique de conditionnement neutre des produits du tabac sont les suivants :</w:t>
      </w:r>
    </w:p>
    <w:p w:rsidR="00FE66FF" w:rsidRPr="00BC1B15" w:rsidRDefault="00BC1B15" w:rsidP="00BC1B15">
      <w:pPr>
        <w:pStyle w:val="ListParagraph"/>
        <w:numPr>
          <w:ilvl w:val="0"/>
          <w:numId w:val="1"/>
        </w:numPr>
        <w:tabs>
          <w:tab w:val="left" w:pos="6663"/>
        </w:tabs>
        <w:spacing w:after="80"/>
        <w:ind w:left="1134" w:right="2257"/>
        <w:contextualSpacing w:val="0"/>
        <w:rPr>
          <w:rFonts w:ascii="Arial" w:hAnsi="Arial" w:cs="Arial"/>
          <w:sz w:val="20"/>
          <w:szCs w:val="20"/>
        </w:rPr>
      </w:pPr>
      <w:r>
        <w:t>L</w:t>
      </w:r>
      <w:r>
        <w:rPr>
          <w:rFonts w:ascii="Arial" w:hAnsi="Arial"/>
          <w:sz w:val="20"/>
          <w:szCs w:val="20"/>
        </w:rPr>
        <w:t xml:space="preserve">e conditionnement doit être de </w:t>
      </w:r>
      <w:r>
        <w:rPr>
          <w:rFonts w:ascii="Arial" w:hAnsi="Arial"/>
          <w:b/>
          <w:sz w:val="20"/>
          <w:szCs w:val="20"/>
        </w:rPr>
        <w:t>couleur neutre, uniforme et peu attrayant</w:t>
      </w:r>
      <w:r w:rsidR="0068433E">
        <w:rPr>
          <w:rFonts w:ascii="Arial" w:hAnsi="Arial"/>
          <w:b/>
          <w:sz w:val="20"/>
          <w:szCs w:val="20"/>
        </w:rPr>
        <w:t>e</w:t>
      </w:r>
      <w:r>
        <w:rPr>
          <w:rFonts w:ascii="Arial" w:hAnsi="Arial"/>
          <w:sz w:val="20"/>
          <w:szCs w:val="20"/>
        </w:rPr>
        <w:t xml:space="preserve"> généralement brun/vert terne. </w:t>
      </w:r>
    </w:p>
    <w:p w:rsidR="00FE66FF" w:rsidRPr="00BC1B15" w:rsidRDefault="00BC1B15" w:rsidP="00BC1B15">
      <w:pPr>
        <w:pStyle w:val="ListParagraph"/>
        <w:numPr>
          <w:ilvl w:val="0"/>
          <w:numId w:val="1"/>
        </w:numPr>
        <w:tabs>
          <w:tab w:val="left" w:pos="6663"/>
        </w:tabs>
        <w:spacing w:after="80"/>
        <w:ind w:left="1134" w:right="1123"/>
        <w:contextualSpacing w:val="0"/>
        <w:rPr>
          <w:rFonts w:ascii="Arial" w:hAnsi="Arial" w:cs="Arial"/>
          <w:sz w:val="20"/>
          <w:szCs w:val="20"/>
        </w:rPr>
      </w:pPr>
      <w:r>
        <w:rPr>
          <w:rFonts w:ascii="Arial" w:hAnsi="Arial"/>
          <w:sz w:val="20"/>
          <w:szCs w:val="20"/>
        </w:rPr>
        <w:t xml:space="preserve">Tous les paquets doivent être de </w:t>
      </w:r>
      <w:r>
        <w:rPr>
          <w:rFonts w:ascii="Arial" w:hAnsi="Arial"/>
          <w:b/>
          <w:sz w:val="20"/>
          <w:szCs w:val="20"/>
        </w:rPr>
        <w:t>forme, taille et texture standard</w:t>
      </w:r>
      <w:r>
        <w:rPr>
          <w:rFonts w:ascii="Arial" w:hAnsi="Arial"/>
          <w:sz w:val="20"/>
          <w:szCs w:val="20"/>
        </w:rPr>
        <w:t>, et en carton.</w:t>
      </w:r>
    </w:p>
    <w:p w:rsidR="00FE66FF" w:rsidRPr="00BC1B15" w:rsidRDefault="00BC1B15" w:rsidP="00BC1B15">
      <w:pPr>
        <w:pStyle w:val="ListParagraph"/>
        <w:numPr>
          <w:ilvl w:val="0"/>
          <w:numId w:val="1"/>
        </w:numPr>
        <w:tabs>
          <w:tab w:val="left" w:pos="6663"/>
        </w:tabs>
        <w:spacing w:after="80"/>
        <w:ind w:left="1134" w:right="1123" w:hanging="357"/>
        <w:contextualSpacing w:val="0"/>
        <w:rPr>
          <w:rFonts w:ascii="Arial" w:hAnsi="Arial" w:cs="Arial"/>
          <w:sz w:val="20"/>
          <w:szCs w:val="20"/>
        </w:rPr>
      </w:pPr>
      <w:r>
        <w:rPr>
          <w:rFonts w:ascii="Arial" w:hAnsi="Arial"/>
          <w:b/>
          <w:sz w:val="20"/>
          <w:szCs w:val="20"/>
        </w:rPr>
        <w:t>Aucune marque, aucun logo ni aucun autre élément promotionnel</w:t>
      </w:r>
      <w:r>
        <w:rPr>
          <w:rFonts w:ascii="Arial" w:hAnsi="Arial"/>
          <w:sz w:val="20"/>
          <w:szCs w:val="20"/>
        </w:rPr>
        <w:t xml:space="preserve"> ne peut figurer sur le paquet ou les cigarettes individuelles. </w:t>
      </w:r>
    </w:p>
    <w:p w:rsidR="00DC705B" w:rsidRPr="00BC1B15" w:rsidRDefault="00BC1B15" w:rsidP="00BC1B15">
      <w:pPr>
        <w:pStyle w:val="ListParagraph"/>
        <w:numPr>
          <w:ilvl w:val="0"/>
          <w:numId w:val="1"/>
        </w:numPr>
        <w:tabs>
          <w:tab w:val="left" w:pos="6663"/>
        </w:tabs>
        <w:spacing w:after="80"/>
        <w:ind w:left="1134" w:right="1123"/>
        <w:contextualSpacing w:val="0"/>
        <w:rPr>
          <w:rFonts w:ascii="Arial" w:hAnsi="Arial" w:cs="Arial"/>
          <w:sz w:val="20"/>
          <w:szCs w:val="20"/>
        </w:rPr>
      </w:pPr>
      <w:r>
        <w:rPr>
          <w:rFonts w:ascii="Arial" w:hAnsi="Arial"/>
          <w:b/>
          <w:sz w:val="20"/>
          <w:szCs w:val="20"/>
        </w:rPr>
        <w:t>Le nom de la marque et du produit peut figurer sur chaque paquet</w:t>
      </w:r>
      <w:r>
        <w:rPr>
          <w:rFonts w:ascii="Arial" w:hAnsi="Arial"/>
          <w:sz w:val="20"/>
          <w:szCs w:val="20"/>
        </w:rPr>
        <w:t>, ainsi que la quantité de produits dans le paquet et les coordonnées du fabricant, mais dans une taille, une couleur et une police standard.</w:t>
      </w:r>
    </w:p>
    <w:p w:rsidR="00FE66FF" w:rsidRPr="00BC1B15" w:rsidRDefault="00FE66FF" w:rsidP="00BC1B15">
      <w:pPr>
        <w:pStyle w:val="ListParagraph"/>
        <w:numPr>
          <w:ilvl w:val="0"/>
          <w:numId w:val="1"/>
        </w:numPr>
        <w:tabs>
          <w:tab w:val="left" w:pos="6663"/>
        </w:tabs>
        <w:spacing w:after="80"/>
        <w:ind w:left="1134" w:right="1123"/>
        <w:contextualSpacing w:val="0"/>
        <w:rPr>
          <w:rFonts w:ascii="Arial" w:hAnsi="Arial" w:cs="Arial"/>
          <w:sz w:val="20"/>
          <w:szCs w:val="20"/>
        </w:rPr>
      </w:pPr>
      <w:r>
        <w:rPr>
          <w:rFonts w:ascii="Arial" w:hAnsi="Arial"/>
          <w:sz w:val="20"/>
          <w:szCs w:val="20"/>
        </w:rPr>
        <w:t xml:space="preserve">Les </w:t>
      </w:r>
      <w:r>
        <w:rPr>
          <w:rFonts w:ascii="Arial" w:hAnsi="Arial"/>
          <w:b/>
          <w:sz w:val="20"/>
          <w:szCs w:val="20"/>
        </w:rPr>
        <w:t>mises en garde sanitaires</w:t>
      </w:r>
      <w:r>
        <w:rPr>
          <w:rFonts w:ascii="Arial" w:hAnsi="Arial"/>
          <w:sz w:val="20"/>
          <w:szCs w:val="20"/>
        </w:rPr>
        <w:t>, les timbres fiscaux et autres exigences du gouvernement demeurent.</w:t>
      </w:r>
    </w:p>
    <w:p w:rsidR="00BC1B15" w:rsidRPr="00D80731" w:rsidRDefault="00BC1B15" w:rsidP="00D80731">
      <w:pPr>
        <w:pStyle w:val="ListParagraph"/>
        <w:tabs>
          <w:tab w:val="left" w:pos="6663"/>
        </w:tabs>
        <w:ind w:left="360" w:right="981"/>
        <w:jc w:val="both"/>
        <w:rPr>
          <w:rFonts w:ascii="Arial" w:hAnsi="Arial" w:cs="Arial"/>
          <w:sz w:val="21"/>
          <w:szCs w:val="21"/>
        </w:rPr>
      </w:pPr>
    </w:p>
    <w:p w:rsidR="00FE66FF" w:rsidRPr="00FB0F7A" w:rsidRDefault="00FE66FF" w:rsidP="00BC1B15">
      <w:pPr>
        <w:pStyle w:val="ListParagraph"/>
        <w:tabs>
          <w:tab w:val="left" w:pos="6663"/>
        </w:tabs>
        <w:spacing w:before="240" w:after="120"/>
        <w:ind w:left="567" w:right="981"/>
        <w:rPr>
          <w:rFonts w:ascii="Arial" w:hAnsi="Arial" w:cs="Arial"/>
          <w:b/>
          <w:color w:val="726E52"/>
          <w:sz w:val="32"/>
          <w:szCs w:val="32"/>
        </w:rPr>
      </w:pPr>
      <w:r>
        <w:rPr>
          <w:rFonts w:ascii="Arial" w:hAnsi="Arial"/>
          <w:b/>
          <w:color w:val="726E52"/>
          <w:sz w:val="32"/>
          <w:szCs w:val="32"/>
        </w:rPr>
        <w:t>Neutre ou standardisé ?</w:t>
      </w:r>
    </w:p>
    <w:p w:rsidR="00FE66FF" w:rsidRDefault="000C0DAB" w:rsidP="00BC1B15">
      <w:pPr>
        <w:tabs>
          <w:tab w:val="left" w:pos="6663"/>
        </w:tabs>
        <w:ind w:left="567" w:right="1123"/>
        <w:jc w:val="both"/>
        <w:rPr>
          <w:rFonts w:ascii="Arial" w:hAnsi="Arial" w:cs="Arial"/>
        </w:rPr>
      </w:pPr>
      <w:r>
        <w:rPr>
          <w:rFonts w:ascii="Arial" w:hAnsi="Arial"/>
          <w:b/>
          <w:noProof/>
          <w:color w:val="726E52"/>
          <w:lang w:val="en-US"/>
        </w:rPr>
        <mc:AlternateContent>
          <mc:Choice Requires="wps">
            <w:drawing>
              <wp:anchor distT="45720" distB="45720" distL="114300" distR="114300" simplePos="0" relativeHeight="251654656" behindDoc="0" locked="0" layoutInCell="1" allowOverlap="1">
                <wp:simplePos x="0" y="0"/>
                <wp:positionH relativeFrom="column">
                  <wp:posOffset>5241290</wp:posOffset>
                </wp:positionH>
                <wp:positionV relativeFrom="paragraph">
                  <wp:posOffset>1150620</wp:posOffset>
                </wp:positionV>
                <wp:extent cx="1786890" cy="1860550"/>
                <wp:effectExtent l="0" t="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890" cy="1860550"/>
                        </a:xfrm>
                        <a:prstGeom prst="rect">
                          <a:avLst/>
                        </a:prstGeom>
                        <a:noFill/>
                        <a:ln w="9525">
                          <a:noFill/>
                          <a:miter lim="800000"/>
                          <a:headEnd/>
                          <a:tailEnd/>
                        </a:ln>
                      </wps:spPr>
                      <wps:txbx>
                        <w:txbxContent>
                          <w:p w:rsidR="00BC1B15" w:rsidRPr="00BC1B15" w:rsidRDefault="000D5380" w:rsidP="0066349E">
                            <w:pPr>
                              <w:spacing w:after="0"/>
                              <w:rPr>
                                <w:b/>
                                <w:color w:val="C45911" w:themeColor="accent2" w:themeShade="BF"/>
                                <w:sz w:val="28"/>
                              </w:rPr>
                            </w:pPr>
                            <w:r>
                              <w:rPr>
                                <w:b/>
                                <w:color w:val="C45911" w:themeColor="accent2" w:themeShade="BF"/>
                                <w:sz w:val="28"/>
                              </w:rPr>
                              <w:t>L’AUSTRALIE « EST EN TRAIN D’ACQUÉRIR NOTRE PANNEAU »</w:t>
                            </w:r>
                          </w:p>
                          <w:p w:rsidR="000D5380" w:rsidRPr="00BC1B15" w:rsidRDefault="00D80731" w:rsidP="00D55B81">
                            <w:pPr>
                              <w:rPr>
                                <w:color w:val="C45911" w:themeColor="accent2" w:themeShade="BF"/>
                                <w:sz w:val="20"/>
                                <w:szCs w:val="18"/>
                              </w:rPr>
                            </w:pPr>
                            <w:r>
                              <w:rPr>
                                <w:color w:val="C45911" w:themeColor="accent2" w:themeShade="BF"/>
                                <w:sz w:val="20"/>
                                <w:szCs w:val="18"/>
                              </w:rPr>
                              <w:t>Avocat de Japa</w:t>
                            </w:r>
                            <w:r w:rsidR="00E379C2">
                              <w:rPr>
                                <w:color w:val="C45911" w:themeColor="accent2" w:themeShade="BF"/>
                                <w:sz w:val="20"/>
                                <w:szCs w:val="18"/>
                              </w:rPr>
                              <w:t>n Tobacco International dans le recours déposé devant la Haute C</w:t>
                            </w:r>
                            <w:r>
                              <w:rPr>
                                <w:color w:val="C45911" w:themeColor="accent2" w:themeShade="BF"/>
                                <w:sz w:val="20"/>
                                <w:szCs w:val="18"/>
                              </w:rPr>
                              <w:t xml:space="preserve">our </w:t>
                            </w:r>
                            <w:r w:rsidR="00E379C2">
                              <w:rPr>
                                <w:color w:val="C45911" w:themeColor="accent2" w:themeShade="BF"/>
                                <w:sz w:val="20"/>
                                <w:szCs w:val="18"/>
                              </w:rPr>
                              <w:t>d’A</w:t>
                            </w:r>
                            <w:r>
                              <w:rPr>
                                <w:color w:val="C45911" w:themeColor="accent2" w:themeShade="BF"/>
                                <w:sz w:val="20"/>
                                <w:szCs w:val="18"/>
                              </w:rPr>
                              <w:t>ustralie contre le conditionnement neutre.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12.7pt;margin-top:90.6pt;width:140.7pt;height:146.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" filled="f" stroked="f">
                <v:textbox>
                  <w:txbxContent>
                    <w:p w:rsidR="00BC1B15" w:rsidRPr="00BC1B15" w:rsidRDefault="000D5380" w:rsidP="0066349E">
                      <w:pPr>
                        <w:spacing w:after="0"/>
                        <w:rPr>
                          <w:b/>
                          <w:color w:val="C45911" w:themeColor="accent2" w:themeShade="BF"/>
                          <w:sz w:val="28"/>
                        </w:rPr>
                      </w:pPr>
                      <w:r>
                        <w:rPr>
                          <w:b/>
                          <w:color w:val="C45911" w:themeColor="accent2" w:themeShade="BF"/>
                          <w:sz w:val="28"/>
                        </w:rPr>
                        <w:t>L’AUSTRALIE « EST EN TRAIN D’ACQUÉRIR NOTRE PANNEAU »</w:t>
                      </w:r>
                    </w:p>
                    <w:p w:rsidR="000D5380" w:rsidRPr="00BC1B15" w:rsidRDefault="00D80731" w:rsidP="00D55B81">
                      <w:pPr>
                        <w:rPr>
                          <w:color w:val="C45911" w:themeColor="accent2" w:themeShade="BF"/>
                          <w:sz w:val="20"/>
                          <w:szCs w:val="18"/>
                        </w:rPr>
                      </w:pPr>
                      <w:r>
                        <w:rPr>
                          <w:color w:val="C45911" w:themeColor="accent2" w:themeShade="BF"/>
                          <w:sz w:val="20"/>
                          <w:szCs w:val="18"/>
                        </w:rPr>
                        <w:t>Avocat de Japa</w:t>
                      </w:r>
                      <w:r w:rsidR="00E379C2">
                        <w:rPr>
                          <w:color w:val="C45911" w:themeColor="accent2" w:themeShade="BF"/>
                          <w:sz w:val="20"/>
                          <w:szCs w:val="18"/>
                        </w:rPr>
                        <w:t>n Tobacco International dans le recours déposé devant la Haute C</w:t>
                      </w:r>
                      <w:r>
                        <w:rPr>
                          <w:color w:val="C45911" w:themeColor="accent2" w:themeShade="BF"/>
                          <w:sz w:val="20"/>
                          <w:szCs w:val="18"/>
                        </w:rPr>
                        <w:t xml:space="preserve">our </w:t>
                      </w:r>
                      <w:r w:rsidR="00E379C2">
                        <w:rPr>
                          <w:color w:val="C45911" w:themeColor="accent2" w:themeShade="BF"/>
                          <w:sz w:val="20"/>
                          <w:szCs w:val="18"/>
                        </w:rPr>
                        <w:t>d’A</w:t>
                      </w:r>
                      <w:r>
                        <w:rPr>
                          <w:color w:val="C45911" w:themeColor="accent2" w:themeShade="BF"/>
                          <w:sz w:val="20"/>
                          <w:szCs w:val="18"/>
                        </w:rPr>
                        <w:t>ustralie contre le conditionnement neutre.</w:t>
                      </w:r>
                    </w:p>
                  </w:txbxContent>
                </v:textbox>
                <w10:wrap type="square"/>
              </v:shape>
            </w:pict>
          </mc:Fallback>
        </mc:AlternateContent>
      </w:r>
      <w:r w:rsidR="00FE66FF">
        <w:rPr>
          <w:rFonts w:ascii="Arial" w:hAnsi="Arial"/>
        </w:rPr>
        <w:t>Le terme le plus fréquemment utilisé pour la politique est « plain packaging » (« condit</w:t>
      </w:r>
      <w:r w:rsidR="0068433E">
        <w:rPr>
          <w:rFonts w:ascii="Arial" w:hAnsi="Arial"/>
        </w:rPr>
        <w:t xml:space="preserve">ionnement neutre »), c’est l’expression </w:t>
      </w:r>
      <w:r w:rsidR="00FE66FF">
        <w:rPr>
          <w:rFonts w:ascii="Arial" w:hAnsi="Arial"/>
        </w:rPr>
        <w:t>utilisé</w:t>
      </w:r>
      <w:r w:rsidR="0068433E">
        <w:rPr>
          <w:rFonts w:ascii="Arial" w:hAnsi="Arial"/>
        </w:rPr>
        <w:t>e</w:t>
      </w:r>
      <w:r w:rsidR="00FE66FF">
        <w:rPr>
          <w:rFonts w:ascii="Arial" w:hAnsi="Arial"/>
        </w:rPr>
        <w:t xml:space="preserve"> </w:t>
      </w:r>
      <w:r w:rsidR="0068433E">
        <w:rPr>
          <w:rFonts w:ascii="Arial" w:hAnsi="Arial"/>
        </w:rPr>
        <w:t>par l’Australie et l’OMS. Mais étant donné</w:t>
      </w:r>
      <w:r w:rsidR="00FE66FF">
        <w:rPr>
          <w:rFonts w:ascii="Arial" w:hAnsi="Arial"/>
        </w:rPr>
        <w:t xml:space="preserve"> que les paquets conservent les mises en garde sanitaires, ils ne sont pas </w:t>
      </w:r>
      <w:r w:rsidR="0068433E">
        <w:rPr>
          <w:rFonts w:ascii="Arial" w:hAnsi="Arial"/>
        </w:rPr>
        <w:t>littéralement</w:t>
      </w:r>
      <w:r w:rsidR="00FE66FF">
        <w:rPr>
          <w:rFonts w:ascii="Arial" w:hAnsi="Arial"/>
        </w:rPr>
        <w:t xml:space="preserve"> « neutres » et l’industrie a tenté de semer la confusion sur ce point. Au Royaume-Uni et en Irlande, le terme utilisé est « </w:t>
      </w:r>
      <w:r w:rsidR="00FE66FF">
        <w:rPr>
          <w:rFonts w:ascii="Arial" w:hAnsi="Arial"/>
          <w:b/>
        </w:rPr>
        <w:t>standardized packaging</w:t>
      </w:r>
      <w:r w:rsidR="00FE66FF">
        <w:rPr>
          <w:rFonts w:ascii="Arial" w:hAnsi="Arial"/>
        </w:rPr>
        <w:t> » (« conditionnement standardisé »). En France, le terme utilisé est « </w:t>
      </w:r>
      <w:r w:rsidR="00FE66FF">
        <w:rPr>
          <w:rFonts w:ascii="Arial" w:hAnsi="Arial"/>
          <w:b/>
        </w:rPr>
        <w:t>paquet neutre »</w:t>
      </w:r>
      <w:r w:rsidR="00FE66FF">
        <w:rPr>
          <w:rFonts w:ascii="Arial" w:hAnsi="Arial"/>
        </w:rPr>
        <w:t xml:space="preserve"> et partout ailleurs les gouvernements parlent de « </w:t>
      </w:r>
      <w:r w:rsidR="00FE66FF">
        <w:rPr>
          <w:rFonts w:ascii="Arial" w:hAnsi="Arial"/>
          <w:b/>
        </w:rPr>
        <w:t>paquet générique</w:t>
      </w:r>
      <w:r w:rsidR="00FE66FF">
        <w:rPr>
          <w:rFonts w:ascii="Arial" w:hAnsi="Arial"/>
        </w:rPr>
        <w:t xml:space="preserve">. » Ces différents termes désignent la même politique. </w:t>
      </w:r>
    </w:p>
    <w:p w:rsidR="00BC1B15" w:rsidRPr="00D80731" w:rsidRDefault="00BC1B15" w:rsidP="000C0DAB">
      <w:pPr>
        <w:tabs>
          <w:tab w:val="left" w:pos="6663"/>
        </w:tabs>
        <w:spacing w:after="0"/>
        <w:ind w:left="562" w:right="1123"/>
        <w:jc w:val="both"/>
        <w:rPr>
          <w:rFonts w:ascii="Arial" w:hAnsi="Arial" w:cs="Arial"/>
        </w:rPr>
      </w:pPr>
    </w:p>
    <w:p w:rsidR="00FE66FF" w:rsidRPr="00FB0F7A" w:rsidRDefault="00BC1B15" w:rsidP="00BC1B15">
      <w:pPr>
        <w:pStyle w:val="ListParagraph"/>
        <w:tabs>
          <w:tab w:val="left" w:pos="6663"/>
        </w:tabs>
        <w:spacing w:before="240" w:after="120"/>
        <w:ind w:left="567" w:right="981"/>
        <w:rPr>
          <w:rFonts w:ascii="Arial" w:hAnsi="Arial" w:cs="Arial"/>
          <w:b/>
          <w:color w:val="726E52"/>
          <w:sz w:val="32"/>
          <w:szCs w:val="32"/>
        </w:rPr>
      </w:pPr>
      <w:r>
        <w:rPr>
          <w:rFonts w:ascii="Arial" w:hAnsi="Arial"/>
          <w:b/>
          <w:color w:val="726E52"/>
          <w:sz w:val="32"/>
          <w:szCs w:val="32"/>
        </w:rPr>
        <w:t xml:space="preserve">Pourquoi cette politique est-elle nécessaire ? </w:t>
      </w:r>
    </w:p>
    <w:p w:rsidR="00FE66FF" w:rsidRDefault="00FE66FF" w:rsidP="00BC1B15">
      <w:pPr>
        <w:tabs>
          <w:tab w:val="left" w:pos="6663"/>
        </w:tabs>
        <w:ind w:left="567" w:right="2682"/>
        <w:jc w:val="both"/>
        <w:rPr>
          <w:rFonts w:ascii="Arial" w:hAnsi="Arial" w:cs="Arial"/>
        </w:rPr>
      </w:pPr>
      <w:r>
        <w:rPr>
          <w:rFonts w:ascii="Arial" w:hAnsi="Arial"/>
          <w:b/>
        </w:rPr>
        <w:t>Le conditionnement de tous les produits peut être un moyen de promotion, marketing et publicité</w:t>
      </w:r>
      <w:r>
        <w:rPr>
          <w:rFonts w:ascii="Arial" w:hAnsi="Arial"/>
        </w:rPr>
        <w:t xml:space="preserve">. C’est d’autant plus vrai pour le tabac étant donné que dans les pays où </w:t>
      </w:r>
      <w:r w:rsidR="00E379C2">
        <w:rPr>
          <w:rFonts w:ascii="Arial" w:hAnsi="Arial"/>
        </w:rPr>
        <w:t xml:space="preserve">toute </w:t>
      </w:r>
      <w:r>
        <w:rPr>
          <w:rFonts w:ascii="Arial" w:hAnsi="Arial"/>
        </w:rPr>
        <w:t xml:space="preserve">autre publicité </w:t>
      </w:r>
      <w:r w:rsidR="00E379C2">
        <w:rPr>
          <w:rFonts w:ascii="Arial" w:hAnsi="Arial"/>
        </w:rPr>
        <w:t>e</w:t>
      </w:r>
      <w:r>
        <w:rPr>
          <w:rFonts w:ascii="Arial" w:hAnsi="Arial"/>
        </w:rPr>
        <w:t xml:space="preserve">st limitée, le paquet devient le principal moyen de promouvoir le tabac. Par ailleurs, le </w:t>
      </w:r>
      <w:r>
        <w:rPr>
          <w:rFonts w:ascii="Arial" w:hAnsi="Arial"/>
        </w:rPr>
        <w:lastRenderedPageBreak/>
        <w:t>tabac est un « p</w:t>
      </w:r>
      <w:r w:rsidR="00E379C2">
        <w:rPr>
          <w:rFonts w:ascii="Arial" w:hAnsi="Arial"/>
        </w:rPr>
        <w:t>roduit badge » que les gens on</w:t>
      </w:r>
      <w:r>
        <w:rPr>
          <w:rFonts w:ascii="Arial" w:hAnsi="Arial"/>
        </w:rPr>
        <w:t>t sur eux et affichent à chaque fois qu’ils sortent leur paquet de cigarettes.</w:t>
      </w:r>
      <w:r w:rsidRPr="00D80731">
        <w:rPr>
          <w:rStyle w:val="EndnoteReference"/>
          <w:rFonts w:ascii="Arial" w:hAnsi="Arial" w:cs="Arial"/>
        </w:rPr>
        <w:endnoteReference w:id="1"/>
      </w:r>
      <w:r>
        <w:rPr>
          <w:rFonts w:ascii="Arial" w:hAnsi="Arial"/>
        </w:rPr>
        <w:t xml:space="preserve"> Le marquage attrayant aux couleurs vives détourne l’attention des mises en garde sanitaires et s’emploie à créer des </w:t>
      </w:r>
      <w:r w:rsidR="00E379C2">
        <w:rPr>
          <w:rFonts w:ascii="Arial" w:hAnsi="Arial"/>
        </w:rPr>
        <w:t>perceptions inexactes quant au</w:t>
      </w:r>
      <w:r>
        <w:rPr>
          <w:rFonts w:ascii="Arial" w:hAnsi="Arial"/>
        </w:rPr>
        <w:t xml:space="preserve"> caractère dangereux et dépendogène du tabac. </w:t>
      </w:r>
    </w:p>
    <w:p w:rsidR="00BC1B15" w:rsidRDefault="00BC1B15" w:rsidP="000C0DAB">
      <w:pPr>
        <w:tabs>
          <w:tab w:val="left" w:pos="6663"/>
        </w:tabs>
        <w:ind w:right="2682"/>
        <w:jc w:val="both"/>
        <w:rPr>
          <w:rFonts w:ascii="Arial" w:hAnsi="Arial" w:cs="Arial"/>
          <w:b/>
        </w:rPr>
      </w:pPr>
    </w:p>
    <w:p w:rsidR="00FE66FF" w:rsidRPr="00FB0F7A" w:rsidRDefault="00FE66FF" w:rsidP="00FB0F7A">
      <w:pPr>
        <w:pStyle w:val="ListParagraph"/>
        <w:spacing w:before="240" w:after="120"/>
        <w:ind w:left="709" w:right="1123"/>
        <w:rPr>
          <w:rFonts w:ascii="Arial" w:hAnsi="Arial" w:cs="Arial"/>
          <w:b/>
          <w:color w:val="726E52"/>
          <w:sz w:val="32"/>
          <w:szCs w:val="32"/>
        </w:rPr>
      </w:pPr>
      <w:r>
        <w:rPr>
          <w:rFonts w:ascii="Arial" w:hAnsi="Arial"/>
          <w:b/>
          <w:color w:val="726E52"/>
          <w:sz w:val="32"/>
          <w:szCs w:val="32"/>
        </w:rPr>
        <w:t xml:space="preserve">Comment </w:t>
      </w:r>
      <w:r w:rsidR="00CA6DA4">
        <w:rPr>
          <w:rFonts w:ascii="Arial" w:hAnsi="Arial"/>
          <w:b/>
          <w:color w:val="726E52"/>
          <w:sz w:val="32"/>
          <w:szCs w:val="32"/>
        </w:rPr>
        <w:t>le</w:t>
      </w:r>
      <w:r w:rsidR="00E379C2">
        <w:rPr>
          <w:rFonts w:ascii="Arial" w:hAnsi="Arial"/>
          <w:b/>
          <w:color w:val="726E52"/>
          <w:sz w:val="32"/>
          <w:szCs w:val="32"/>
        </w:rPr>
        <w:t xml:space="preserve"> conditionnement neutre</w:t>
      </w:r>
      <w:r w:rsidR="00CA6DA4">
        <w:rPr>
          <w:rFonts w:ascii="Arial" w:hAnsi="Arial"/>
          <w:b/>
          <w:color w:val="726E52"/>
          <w:sz w:val="32"/>
          <w:szCs w:val="32"/>
        </w:rPr>
        <w:t xml:space="preserve"> va-t-il fonctionner</w:t>
      </w:r>
      <w:r w:rsidR="00E379C2">
        <w:rPr>
          <w:rFonts w:ascii="Arial" w:hAnsi="Arial"/>
          <w:b/>
          <w:color w:val="726E52"/>
          <w:sz w:val="32"/>
          <w:szCs w:val="32"/>
        </w:rPr>
        <w:t> ?</w:t>
      </w:r>
    </w:p>
    <w:p w:rsidR="00FE66FF" w:rsidRPr="00D80731" w:rsidRDefault="00FE66FF" w:rsidP="00BC1B15">
      <w:pPr>
        <w:spacing w:after="80" w:line="240" w:lineRule="auto"/>
        <w:ind w:left="709" w:right="1123"/>
        <w:jc w:val="both"/>
        <w:rPr>
          <w:rFonts w:ascii="Arial" w:hAnsi="Arial" w:cs="Arial"/>
        </w:rPr>
      </w:pPr>
      <w:r>
        <w:rPr>
          <w:rFonts w:ascii="Arial" w:hAnsi="Arial"/>
        </w:rPr>
        <w:t>Le conditionnement neutre permet de changer les attitudes et les comportements en matière de tabagisme et de réduire la demande globale de tabac. Il devrait avoir un effet plus important sur les jeunes. Le conditionnement neutre va :</w:t>
      </w:r>
    </w:p>
    <w:p w:rsidR="00FE66FF" w:rsidRPr="00D80731" w:rsidRDefault="00FE66FF" w:rsidP="00FB0F7A">
      <w:pPr>
        <w:pStyle w:val="ListParagraph"/>
        <w:numPr>
          <w:ilvl w:val="0"/>
          <w:numId w:val="3"/>
        </w:numPr>
        <w:spacing w:after="120" w:line="240" w:lineRule="auto"/>
        <w:ind w:left="1559" w:right="1123" w:hanging="425"/>
        <w:contextualSpacing w:val="0"/>
        <w:jc w:val="both"/>
        <w:rPr>
          <w:rFonts w:ascii="Arial" w:hAnsi="Arial" w:cs="Arial"/>
        </w:rPr>
      </w:pPr>
      <w:r>
        <w:rPr>
          <w:rFonts w:ascii="Arial" w:hAnsi="Arial"/>
          <w:b/>
        </w:rPr>
        <w:t xml:space="preserve">réduire le caractère attrayant </w:t>
      </w:r>
      <w:r>
        <w:rPr>
          <w:rFonts w:ascii="Arial" w:hAnsi="Arial"/>
        </w:rPr>
        <w:t>des produits du tabac pour les consommateurs ;</w:t>
      </w:r>
    </w:p>
    <w:p w:rsidR="00FE66FF" w:rsidRPr="00D80731" w:rsidRDefault="00FE66FF" w:rsidP="00FB0F7A">
      <w:pPr>
        <w:pStyle w:val="ListParagraph"/>
        <w:numPr>
          <w:ilvl w:val="0"/>
          <w:numId w:val="3"/>
        </w:numPr>
        <w:spacing w:after="120" w:line="240" w:lineRule="auto"/>
        <w:ind w:left="1559" w:right="1123" w:hanging="425"/>
        <w:contextualSpacing w:val="0"/>
        <w:jc w:val="both"/>
        <w:rPr>
          <w:rFonts w:ascii="Arial" w:hAnsi="Arial" w:cs="Arial"/>
        </w:rPr>
      </w:pPr>
      <w:r>
        <w:rPr>
          <w:rFonts w:ascii="Arial" w:hAnsi="Arial"/>
          <w:b/>
        </w:rPr>
        <w:t>augmenter la visibilité et l’efficacité des mises en garde sanitaires</w:t>
      </w:r>
      <w:r w:rsidR="00E379C2">
        <w:rPr>
          <w:rFonts w:ascii="Arial" w:hAnsi="Arial"/>
        </w:rPr>
        <w:t xml:space="preserve"> sur l’emballage</w:t>
      </w:r>
      <w:r>
        <w:rPr>
          <w:rFonts w:ascii="Arial" w:hAnsi="Arial"/>
        </w:rPr>
        <w:t xml:space="preserve"> des produits du tabac ; et</w:t>
      </w:r>
    </w:p>
    <w:p w:rsidR="00FE66FF" w:rsidRPr="00D80731" w:rsidRDefault="00FE66FF" w:rsidP="00FB0F7A">
      <w:pPr>
        <w:pStyle w:val="ListParagraph"/>
        <w:numPr>
          <w:ilvl w:val="0"/>
          <w:numId w:val="3"/>
        </w:numPr>
        <w:spacing w:after="120" w:line="240" w:lineRule="auto"/>
        <w:ind w:left="1559" w:right="1123" w:hanging="425"/>
        <w:contextualSpacing w:val="0"/>
        <w:jc w:val="both"/>
        <w:rPr>
          <w:rFonts w:ascii="Arial" w:hAnsi="Arial" w:cs="Arial"/>
        </w:rPr>
      </w:pPr>
      <w:r>
        <w:rPr>
          <w:rFonts w:ascii="Arial" w:hAnsi="Arial"/>
          <w:b/>
        </w:rPr>
        <w:t xml:space="preserve">réduire la capacité </w:t>
      </w:r>
      <w:r w:rsidR="00E379C2">
        <w:rPr>
          <w:rFonts w:ascii="Arial" w:hAnsi="Arial"/>
          <w:b/>
        </w:rPr>
        <w:t>de l’emballage</w:t>
      </w:r>
      <w:r>
        <w:rPr>
          <w:rFonts w:ascii="Arial" w:hAnsi="Arial"/>
          <w:b/>
        </w:rPr>
        <w:t xml:space="preserve"> des produits du tabac à tromper les consommateurs </w:t>
      </w:r>
      <w:r>
        <w:rPr>
          <w:rFonts w:ascii="Arial" w:hAnsi="Arial"/>
        </w:rPr>
        <w:t>sur les effets nocifs du tabagisme ou l</w:t>
      </w:r>
      <w:r w:rsidR="00E379C2">
        <w:rPr>
          <w:rFonts w:ascii="Arial" w:hAnsi="Arial"/>
        </w:rPr>
        <w:t>a consommation</w:t>
      </w:r>
      <w:r>
        <w:rPr>
          <w:rFonts w:ascii="Arial" w:hAnsi="Arial"/>
        </w:rPr>
        <w:t xml:space="preserve"> des produits du tabac</w:t>
      </w:r>
      <w:r w:rsidR="00E379C2">
        <w:rPr>
          <w:rFonts w:ascii="Arial" w:hAnsi="Arial"/>
        </w:rPr>
        <w:t>.</w:t>
      </w:r>
    </w:p>
    <w:p w:rsidR="00E7738C" w:rsidRPr="00D80731" w:rsidRDefault="000C0DAB" w:rsidP="00BC1B15">
      <w:pPr>
        <w:pStyle w:val="ListParagraph"/>
        <w:spacing w:before="80" w:after="0" w:line="240" w:lineRule="auto"/>
        <w:ind w:left="709" w:right="1123"/>
        <w:contextualSpacing w:val="0"/>
        <w:jc w:val="both"/>
        <w:rPr>
          <w:rFonts w:ascii="Arial" w:hAnsi="Arial" w:cs="Arial"/>
        </w:rPr>
      </w:pPr>
      <w:r>
        <w:rPr>
          <w:rFonts w:ascii="Arial" w:hAnsi="Arial"/>
          <w:b/>
          <w:noProof/>
          <w:lang w:val="en-US"/>
        </w:rPr>
        <mc:AlternateContent>
          <mc:Choice Requires="wps">
            <w:drawing>
              <wp:anchor distT="45720" distB="45720" distL="114300" distR="114300" simplePos="0" relativeHeight="251660800" behindDoc="0" locked="0" layoutInCell="1" allowOverlap="1">
                <wp:simplePos x="0" y="0"/>
                <wp:positionH relativeFrom="column">
                  <wp:posOffset>4253230</wp:posOffset>
                </wp:positionH>
                <wp:positionV relativeFrom="paragraph">
                  <wp:posOffset>135255</wp:posOffset>
                </wp:positionV>
                <wp:extent cx="2487930" cy="301942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930" cy="3019425"/>
                        </a:xfrm>
                        <a:prstGeom prst="rect">
                          <a:avLst/>
                        </a:prstGeom>
                        <a:noFill/>
                        <a:ln w="9525">
                          <a:noFill/>
                          <a:miter lim="800000"/>
                          <a:headEnd/>
                          <a:tailEnd/>
                        </a:ln>
                      </wps:spPr>
                      <wps:txbx>
                        <w:txbxContent>
                          <w:p w:rsidR="00FB0F7A" w:rsidRDefault="000D5380" w:rsidP="00FB0F7A">
                            <w:pPr>
                              <w:spacing w:after="0"/>
                              <w:rPr>
                                <w:color w:val="C45911" w:themeColor="accent2" w:themeShade="BF"/>
                                <w:sz w:val="28"/>
                              </w:rPr>
                            </w:pPr>
                            <w:r>
                              <w:rPr>
                                <w:color w:val="C45911" w:themeColor="accent2" w:themeShade="BF"/>
                                <w:sz w:val="28"/>
                              </w:rPr>
                              <w:t>« Notre vecteur de communication final auprès de nos fumeurs est le paquet lui-même.</w:t>
                            </w:r>
                            <w:r>
                              <w:rPr>
                                <w:rFonts w:ascii="Arial" w:hAnsi="Arial"/>
                                <w:color w:val="C45911" w:themeColor="accent2" w:themeShade="BF"/>
                                <w:sz w:val="28"/>
                              </w:rPr>
                              <w:t xml:space="preserve"> En l’absence de tout autre message marketing, notre conditionnement […] est l’unique moyen de communication de l’essence de notre marque. En d’autres termes, lorsque vous n’avez plus rien - </w:t>
                            </w:r>
                            <w:r w:rsidR="00E379C2">
                              <w:rPr>
                                <w:rFonts w:ascii="Arial" w:hAnsi="Arial"/>
                                <w:b/>
                                <w:color w:val="C45911" w:themeColor="accent2" w:themeShade="BF"/>
                                <w:sz w:val="28"/>
                              </w:rPr>
                              <w:t>votre</w:t>
                            </w:r>
                            <w:r>
                              <w:rPr>
                                <w:rFonts w:ascii="Arial" w:hAnsi="Arial"/>
                                <w:b/>
                                <w:color w:val="C45911" w:themeColor="accent2" w:themeShade="BF"/>
                                <w:sz w:val="28"/>
                              </w:rPr>
                              <w:t xml:space="preserve"> conditionnemen</w:t>
                            </w:r>
                            <w:r w:rsidR="00E379C2">
                              <w:rPr>
                                <w:rFonts w:ascii="Arial" w:hAnsi="Arial"/>
                                <w:b/>
                                <w:color w:val="C45911" w:themeColor="accent2" w:themeShade="BF"/>
                                <w:sz w:val="28"/>
                              </w:rPr>
                              <w:t>t c’est v</w:t>
                            </w:r>
                            <w:r>
                              <w:rPr>
                                <w:rFonts w:ascii="Arial" w:hAnsi="Arial"/>
                                <w:b/>
                                <w:color w:val="C45911" w:themeColor="accent2" w:themeShade="BF"/>
                                <w:sz w:val="28"/>
                              </w:rPr>
                              <w:t>otre marketing</w:t>
                            </w:r>
                            <w:r>
                              <w:rPr>
                                <w:color w:val="C45911" w:themeColor="accent2" w:themeShade="BF"/>
                                <w:sz w:val="28"/>
                              </w:rPr>
                              <w:t xml:space="preserve">. »   </w:t>
                            </w:r>
                          </w:p>
                          <w:p w:rsidR="000D5380" w:rsidRPr="00FB0F7A" w:rsidRDefault="00FB0F7A">
                            <w:pPr>
                              <w:rPr>
                                <w:color w:val="C45911" w:themeColor="accent2" w:themeShade="BF"/>
                                <w:sz w:val="24"/>
                              </w:rPr>
                            </w:pPr>
                            <w:r>
                              <w:rPr>
                                <w:color w:val="C45911" w:themeColor="accent2" w:themeShade="BF"/>
                                <w:sz w:val="24"/>
                              </w:rPr>
                              <w:t>Citation d’un dirigeant de BAT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34.9pt;margin-top:10.65pt;width:195.9pt;height:237.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" filled="f" stroked="f">
                <v:textbox>
                  <w:txbxContent>
                    <w:p w:rsidR="00FB0F7A" w:rsidRDefault="000D5380" w:rsidP="00FB0F7A">
                      <w:pPr>
                        <w:spacing w:after="0"/>
                        <w:rPr>
                          <w:color w:val="C45911" w:themeColor="accent2" w:themeShade="BF"/>
                          <w:sz w:val="28"/>
                        </w:rPr>
                      </w:pPr>
                      <w:r>
                        <w:rPr>
                          <w:color w:val="C45911" w:themeColor="accent2" w:themeShade="BF"/>
                          <w:sz w:val="28"/>
                        </w:rPr>
                        <w:t>« Notre vecteur de communication final auprès de nos fumeurs est le paquet lui-même.</w:t>
                      </w:r>
                      <w:r>
                        <w:rPr>
                          <w:rFonts w:ascii="Arial" w:hAnsi="Arial"/>
                          <w:color w:val="C45911" w:themeColor="accent2" w:themeShade="BF"/>
                          <w:sz w:val="28"/>
                        </w:rPr>
                        <w:t xml:space="preserve"> En l’absence de tout autre message marketing, notre conditionnement […] est l’unique moyen de communication de l’essence de notre marque. En d’autres termes, lorsque vous n’avez plus rien - </w:t>
                      </w:r>
                      <w:r w:rsidR="00E379C2">
                        <w:rPr>
                          <w:rFonts w:ascii="Arial" w:hAnsi="Arial"/>
                          <w:b/>
                          <w:color w:val="C45911" w:themeColor="accent2" w:themeShade="BF"/>
                          <w:sz w:val="28"/>
                        </w:rPr>
                        <w:t>votre</w:t>
                      </w:r>
                      <w:r>
                        <w:rPr>
                          <w:rFonts w:ascii="Arial" w:hAnsi="Arial"/>
                          <w:b/>
                          <w:color w:val="C45911" w:themeColor="accent2" w:themeShade="BF"/>
                          <w:sz w:val="28"/>
                        </w:rPr>
                        <w:t xml:space="preserve"> conditionnemen</w:t>
                      </w:r>
                      <w:r w:rsidR="00E379C2">
                        <w:rPr>
                          <w:rFonts w:ascii="Arial" w:hAnsi="Arial"/>
                          <w:b/>
                          <w:color w:val="C45911" w:themeColor="accent2" w:themeShade="BF"/>
                          <w:sz w:val="28"/>
                        </w:rPr>
                        <w:t>t c’est v</w:t>
                      </w:r>
                      <w:r>
                        <w:rPr>
                          <w:rFonts w:ascii="Arial" w:hAnsi="Arial"/>
                          <w:b/>
                          <w:color w:val="C45911" w:themeColor="accent2" w:themeShade="BF"/>
                          <w:sz w:val="28"/>
                        </w:rPr>
                        <w:t>otre marketing</w:t>
                      </w:r>
                      <w:r>
                        <w:rPr>
                          <w:color w:val="C45911" w:themeColor="accent2" w:themeShade="BF"/>
                          <w:sz w:val="28"/>
                        </w:rPr>
                        <w:t xml:space="preserve">. »   </w:t>
                      </w:r>
                    </w:p>
                    <w:p w:rsidR="000D5380" w:rsidRPr="00FB0F7A" w:rsidRDefault="00FB0F7A">
                      <w:pPr>
                        <w:rPr>
                          <w:color w:val="C45911" w:themeColor="accent2" w:themeShade="BF"/>
                          <w:sz w:val="24"/>
                        </w:rPr>
                      </w:pPr>
                      <w:r>
                        <w:rPr>
                          <w:color w:val="C45911" w:themeColor="accent2" w:themeShade="BF"/>
                          <w:sz w:val="24"/>
                        </w:rPr>
                        <w:t>Citation d’un dirigeant de BAT</w:t>
                      </w:r>
                    </w:p>
                  </w:txbxContent>
                </v:textbox>
                <w10:wrap type="square"/>
              </v:shape>
            </w:pict>
          </mc:Fallback>
        </mc:AlternateContent>
      </w:r>
    </w:p>
    <w:p w:rsidR="00E7738C" w:rsidRPr="00FB0F7A" w:rsidRDefault="00E7738C" w:rsidP="00FB0F7A">
      <w:pPr>
        <w:spacing w:before="240" w:after="120"/>
        <w:ind w:left="709" w:right="4100"/>
        <w:jc w:val="both"/>
        <w:rPr>
          <w:rFonts w:ascii="Arial" w:hAnsi="Arial" w:cs="Arial"/>
          <w:b/>
          <w:color w:val="726E52"/>
          <w:sz w:val="32"/>
          <w:szCs w:val="32"/>
        </w:rPr>
      </w:pPr>
      <w:r>
        <w:rPr>
          <w:rFonts w:ascii="Arial" w:hAnsi="Arial"/>
          <w:b/>
          <w:color w:val="726E52"/>
          <w:sz w:val="32"/>
          <w:szCs w:val="32"/>
        </w:rPr>
        <w:t>Quels pays ont déjà adopté le conditionnement neutre ?</w:t>
      </w:r>
      <w:r w:rsidRPr="00FB0F7A">
        <w:rPr>
          <w:rStyle w:val="EndnoteReference"/>
          <w:rFonts w:ascii="Arial" w:hAnsi="Arial" w:cs="Arial"/>
          <w:b/>
          <w:color w:val="726E52"/>
          <w:sz w:val="32"/>
          <w:szCs w:val="32"/>
        </w:rPr>
        <w:endnoteReference w:id="2"/>
      </w:r>
    </w:p>
    <w:p w:rsidR="00FB0F7A" w:rsidRDefault="00E7738C" w:rsidP="00FB0F7A">
      <w:pPr>
        <w:ind w:left="709" w:right="4100"/>
        <w:jc w:val="both"/>
        <w:rPr>
          <w:rFonts w:ascii="Arial" w:hAnsi="Arial" w:cs="Arial"/>
        </w:rPr>
      </w:pPr>
      <w:r>
        <w:rPr>
          <w:rFonts w:ascii="Arial" w:hAnsi="Arial"/>
        </w:rPr>
        <w:t>L’</w:t>
      </w:r>
      <w:r>
        <w:rPr>
          <w:rFonts w:ascii="Arial" w:hAnsi="Arial"/>
          <w:b/>
        </w:rPr>
        <w:t>Australie</w:t>
      </w:r>
      <w:r>
        <w:rPr>
          <w:rFonts w:ascii="Arial" w:hAnsi="Arial"/>
        </w:rPr>
        <w:t xml:space="preserve"> a été le premier pays à adopter la politique en 2012. Depuis, la </w:t>
      </w:r>
      <w:r>
        <w:rPr>
          <w:rFonts w:ascii="Arial" w:hAnsi="Arial"/>
          <w:b/>
        </w:rPr>
        <w:t>France</w:t>
      </w:r>
      <w:r>
        <w:rPr>
          <w:rFonts w:ascii="Arial" w:hAnsi="Arial"/>
        </w:rPr>
        <w:t xml:space="preserve"> et</w:t>
      </w:r>
      <w:r>
        <w:rPr>
          <w:rFonts w:ascii="Arial" w:hAnsi="Arial"/>
          <w:b/>
        </w:rPr>
        <w:t xml:space="preserve"> le Royaume-Uni </w:t>
      </w:r>
      <w:r>
        <w:rPr>
          <w:rFonts w:ascii="Arial" w:hAnsi="Arial"/>
        </w:rPr>
        <w:t xml:space="preserve">l’ont mise en vigueur et l’applique totalement. </w:t>
      </w:r>
    </w:p>
    <w:p w:rsidR="00FB0F7A" w:rsidRDefault="00E7738C" w:rsidP="00FB0F7A">
      <w:pPr>
        <w:ind w:left="709" w:right="4100"/>
        <w:jc w:val="both"/>
        <w:rPr>
          <w:rFonts w:ascii="Arial" w:hAnsi="Arial" w:cs="Arial"/>
        </w:rPr>
      </w:pPr>
      <w:r>
        <w:rPr>
          <w:rFonts w:ascii="Arial" w:hAnsi="Arial"/>
        </w:rPr>
        <w:t>L’</w:t>
      </w:r>
      <w:r>
        <w:rPr>
          <w:rFonts w:ascii="Arial" w:hAnsi="Arial"/>
          <w:b/>
        </w:rPr>
        <w:t>Irlande, la Hongrie, la Norvège, la Slovénie et la Nouvelle</w:t>
      </w:r>
      <w:r w:rsidR="00E379C2">
        <w:rPr>
          <w:rFonts w:ascii="Arial" w:hAnsi="Arial"/>
          <w:b/>
        </w:rPr>
        <w:t>-</w:t>
      </w:r>
      <w:r>
        <w:rPr>
          <w:rFonts w:ascii="Arial" w:hAnsi="Arial"/>
          <w:b/>
        </w:rPr>
        <w:t>Zélande</w:t>
      </w:r>
      <w:r>
        <w:rPr>
          <w:rFonts w:ascii="Arial" w:hAnsi="Arial"/>
        </w:rPr>
        <w:t xml:space="preserve"> ont tous adopté des lois sur le conditionnement neutre qui devraient être mises en œuvre en 2017 et 2018. </w:t>
      </w:r>
    </w:p>
    <w:p w:rsidR="00E7738C" w:rsidRDefault="00E379C2" w:rsidP="00FB0F7A">
      <w:pPr>
        <w:ind w:left="709" w:right="4100"/>
        <w:jc w:val="both"/>
        <w:rPr>
          <w:rFonts w:ascii="Arial" w:hAnsi="Arial" w:cs="Arial"/>
        </w:rPr>
      </w:pPr>
      <w:r>
        <w:rPr>
          <w:rFonts w:ascii="Arial" w:hAnsi="Arial"/>
        </w:rPr>
        <w:t>Depuis</w:t>
      </w:r>
      <w:r w:rsidR="00E7738C">
        <w:rPr>
          <w:rFonts w:ascii="Arial" w:hAnsi="Arial"/>
        </w:rPr>
        <w:t xml:space="preserve"> novembre 2017, les gouvernements de nombreux autres pays </w:t>
      </w:r>
      <w:r>
        <w:rPr>
          <w:rFonts w:ascii="Arial" w:hAnsi="Arial"/>
        </w:rPr>
        <w:t>ont soumis</w:t>
      </w:r>
      <w:r w:rsidR="00E7738C">
        <w:rPr>
          <w:rFonts w:ascii="Arial" w:hAnsi="Arial"/>
        </w:rPr>
        <w:t xml:space="preserve"> le projet de loi au parlement ou envisagent sérieusement la politique, notamment le </w:t>
      </w:r>
      <w:r w:rsidR="00E7738C">
        <w:rPr>
          <w:rFonts w:ascii="Arial" w:hAnsi="Arial"/>
          <w:b/>
        </w:rPr>
        <w:t>Canada, la Belgique, l’Uruguay, la Thaïlande, l’Afrique du Sud, le Chili, Singapour et le Sri Lanka</w:t>
      </w:r>
      <w:r w:rsidR="00E7738C">
        <w:rPr>
          <w:rFonts w:ascii="Arial" w:hAnsi="Arial"/>
        </w:rPr>
        <w:t>.</w:t>
      </w:r>
    </w:p>
    <w:p w:rsidR="00FB0F7A" w:rsidRDefault="00FB0F7A" w:rsidP="00FB0F7A">
      <w:pPr>
        <w:pStyle w:val="ListParagraph"/>
        <w:spacing w:before="240" w:after="0"/>
        <w:ind w:left="709" w:right="1123"/>
        <w:jc w:val="both"/>
        <w:rPr>
          <w:rFonts w:ascii="Arial" w:hAnsi="Arial" w:cs="Arial"/>
          <w:color w:val="726E52"/>
          <w:sz w:val="32"/>
          <w:szCs w:val="32"/>
        </w:rPr>
      </w:pPr>
    </w:p>
    <w:p w:rsidR="00E7738C" w:rsidRPr="00FB0F7A" w:rsidRDefault="00E7738C" w:rsidP="00FB0F7A">
      <w:pPr>
        <w:pStyle w:val="ListParagraph"/>
        <w:spacing w:before="240" w:after="120"/>
        <w:ind w:left="709" w:right="1123"/>
        <w:jc w:val="both"/>
        <w:rPr>
          <w:rFonts w:ascii="Arial" w:hAnsi="Arial" w:cs="Arial"/>
          <w:b/>
          <w:color w:val="726E52"/>
          <w:sz w:val="32"/>
          <w:szCs w:val="32"/>
        </w:rPr>
      </w:pPr>
      <w:r>
        <w:rPr>
          <w:rFonts w:ascii="Arial" w:hAnsi="Arial"/>
          <w:b/>
          <w:color w:val="726E52"/>
          <w:sz w:val="32"/>
          <w:szCs w:val="32"/>
        </w:rPr>
        <w:t>Est-ce que ça fonctionne, que disent les preuves ?</w:t>
      </w:r>
    </w:p>
    <w:p w:rsidR="00E7738C" w:rsidRPr="00D80731" w:rsidRDefault="00E7738C" w:rsidP="00BC1B15">
      <w:pPr>
        <w:ind w:left="709" w:right="1123"/>
        <w:jc w:val="both"/>
        <w:rPr>
          <w:rFonts w:ascii="Arial" w:hAnsi="Arial" w:cs="Arial"/>
        </w:rPr>
      </w:pPr>
      <w:r>
        <w:rPr>
          <w:rFonts w:ascii="Arial" w:hAnsi="Arial"/>
        </w:rPr>
        <w:t xml:space="preserve">Oui. </w:t>
      </w:r>
      <w:r>
        <w:rPr>
          <w:rFonts w:ascii="Arial" w:hAnsi="Arial"/>
          <w:b/>
        </w:rPr>
        <w:t>Cinq examens de preuves systématiques internationaux</w:t>
      </w:r>
      <w:r w:rsidR="00F85E1B">
        <w:rPr>
          <w:rFonts w:ascii="Arial" w:hAnsi="Arial"/>
        </w:rPr>
        <w:t xml:space="preserve"> ont passé en revue toutes les études</w:t>
      </w:r>
      <w:r>
        <w:rPr>
          <w:rFonts w:ascii="Arial" w:hAnsi="Arial"/>
        </w:rPr>
        <w:t xml:space="preserve"> évaluées par des pairs menées dans le monde entier </w:t>
      </w:r>
      <w:r w:rsidR="00A46100">
        <w:rPr>
          <w:rFonts w:ascii="Arial" w:hAnsi="Arial"/>
        </w:rPr>
        <w:t>relatives à</w:t>
      </w:r>
      <w:r>
        <w:rPr>
          <w:rFonts w:ascii="Arial" w:hAnsi="Arial"/>
        </w:rPr>
        <w:t xml:space="preserve"> l’impact du conditionnement neutre sur les comportements et les habitudes liés au tabagisme.</w:t>
      </w:r>
      <w:r w:rsidRPr="00D80731">
        <w:rPr>
          <w:rStyle w:val="EndnoteReference"/>
          <w:rFonts w:ascii="Arial" w:hAnsi="Arial" w:cs="Arial"/>
        </w:rPr>
        <w:endnoteReference w:id="3"/>
      </w:r>
      <w:r>
        <w:rPr>
          <w:rFonts w:ascii="Arial" w:hAnsi="Arial"/>
        </w:rPr>
        <w:t xml:space="preserve"> Tous ces examens ont conclu que la pol</w:t>
      </w:r>
      <w:r w:rsidR="00A46100">
        <w:rPr>
          <w:rFonts w:ascii="Arial" w:hAnsi="Arial"/>
        </w:rPr>
        <w:t xml:space="preserve">itique </w:t>
      </w:r>
      <w:r w:rsidR="001864B3">
        <w:rPr>
          <w:rFonts w:ascii="Arial" w:hAnsi="Arial"/>
        </w:rPr>
        <w:t>participerait à la réalisation de</w:t>
      </w:r>
      <w:r w:rsidR="00A46100">
        <w:rPr>
          <w:rFonts w:ascii="Arial" w:hAnsi="Arial"/>
        </w:rPr>
        <w:t xml:space="preserve"> s</w:t>
      </w:r>
      <w:r>
        <w:rPr>
          <w:rFonts w:ascii="Arial" w:hAnsi="Arial"/>
        </w:rPr>
        <w:t xml:space="preserve">es objectifs de manière efficace. </w:t>
      </w:r>
    </w:p>
    <w:p w:rsidR="00E7738C" w:rsidRPr="00D80731" w:rsidRDefault="00E7738C" w:rsidP="00BC1B15">
      <w:pPr>
        <w:ind w:left="709" w:right="1123"/>
        <w:jc w:val="both"/>
        <w:rPr>
          <w:rFonts w:ascii="Arial" w:hAnsi="Arial" w:cs="Arial"/>
        </w:rPr>
      </w:pPr>
      <w:r>
        <w:rPr>
          <w:rFonts w:ascii="Arial" w:hAnsi="Arial"/>
        </w:rPr>
        <w:t>En Australie, les données recueillies sur cinq ans après la mise en œuvre de la politique montrent des diminutions significatives constantes des taux de tabagisme.</w:t>
      </w:r>
      <w:r w:rsidRPr="00D80731">
        <w:rPr>
          <w:rStyle w:val="EndnoteReference"/>
          <w:rFonts w:ascii="Arial" w:hAnsi="Arial" w:cs="Arial"/>
        </w:rPr>
        <w:endnoteReference w:id="4"/>
      </w:r>
      <w:r w:rsidR="001864B3">
        <w:rPr>
          <w:rFonts w:ascii="Arial" w:hAnsi="Arial"/>
        </w:rPr>
        <w:t xml:space="preserve"> L’examen mené par le gouvernement après la mise en œuvre a conclu que l’on pouvait attribuer une réduction de</w:t>
      </w:r>
      <w:r>
        <w:rPr>
          <w:rFonts w:ascii="Arial" w:hAnsi="Arial"/>
        </w:rPr>
        <w:t xml:space="preserve"> 0</w:t>
      </w:r>
      <w:r w:rsidR="001864B3">
        <w:rPr>
          <w:rFonts w:ascii="Arial" w:hAnsi="Arial"/>
        </w:rPr>
        <w:t>,</w:t>
      </w:r>
      <w:r>
        <w:rPr>
          <w:rFonts w:ascii="Arial" w:hAnsi="Arial"/>
        </w:rPr>
        <w:t>55</w:t>
      </w:r>
      <w:r w:rsidR="001864B3">
        <w:rPr>
          <w:rFonts w:ascii="Arial" w:hAnsi="Arial"/>
        </w:rPr>
        <w:t xml:space="preserve"> point de pourcentage au conditionnement neutre </w:t>
      </w:r>
      <w:r>
        <w:rPr>
          <w:rFonts w:ascii="Arial" w:hAnsi="Arial"/>
        </w:rPr>
        <w:t>(</w:t>
      </w:r>
      <w:r w:rsidR="001864B3">
        <w:rPr>
          <w:rFonts w:ascii="Arial" w:hAnsi="Arial"/>
        </w:rPr>
        <w:t>l’</w:t>
      </w:r>
      <w:r w:rsidR="001864B3">
        <w:rPr>
          <w:rFonts w:ascii="Arial" w:hAnsi="Arial"/>
          <w:b/>
        </w:rPr>
        <w:t>é</w:t>
      </w:r>
      <w:r>
        <w:rPr>
          <w:rFonts w:ascii="Arial" w:hAnsi="Arial"/>
          <w:b/>
        </w:rPr>
        <w:t xml:space="preserve">quivalent </w:t>
      </w:r>
      <w:r w:rsidR="001864B3">
        <w:rPr>
          <w:rFonts w:ascii="Arial" w:hAnsi="Arial"/>
          <w:b/>
        </w:rPr>
        <w:t>de 118 </w:t>
      </w:r>
      <w:r>
        <w:rPr>
          <w:rFonts w:ascii="Arial" w:hAnsi="Arial"/>
          <w:b/>
        </w:rPr>
        <w:t>000</w:t>
      </w:r>
      <w:r w:rsidR="001864B3">
        <w:rPr>
          <w:rFonts w:ascii="Arial" w:hAnsi="Arial"/>
          <w:b/>
        </w:rPr>
        <w:t> fumeurs en moins</w:t>
      </w:r>
      <w:r w:rsidRPr="00D80731">
        <w:rPr>
          <w:rStyle w:val="EndnoteReference"/>
          <w:rFonts w:ascii="Arial" w:hAnsi="Arial" w:cs="Arial"/>
        </w:rPr>
        <w:endnoteReference w:id="5"/>
      </w:r>
      <w:r w:rsidR="001864B3">
        <w:rPr>
          <w:rFonts w:ascii="Arial" w:hAnsi="Arial"/>
          <w:b/>
        </w:rPr>
        <w:t xml:space="preserve"> sur trois ans</w:t>
      </w:r>
      <w:r>
        <w:rPr>
          <w:rFonts w:ascii="Arial" w:hAnsi="Arial"/>
        </w:rPr>
        <w:t xml:space="preserve">), et que la politique commençait à atteindre ses objectifs. </w:t>
      </w:r>
    </w:p>
    <w:p w:rsidR="00E7738C" w:rsidRDefault="00E7738C" w:rsidP="00BC1B15">
      <w:pPr>
        <w:ind w:left="709" w:right="1123"/>
        <w:jc w:val="both"/>
        <w:rPr>
          <w:rFonts w:ascii="Arial" w:hAnsi="Arial" w:cs="Arial"/>
        </w:rPr>
      </w:pPr>
      <w:r>
        <w:rPr>
          <w:rFonts w:ascii="Arial" w:hAnsi="Arial"/>
        </w:rPr>
        <w:lastRenderedPageBreak/>
        <w:t>L’industrie du tabac a refusé de publier ses propres recherches internes sur les effets du conditionnement neutre. Les études sur lesquelles se fondent les fabricants de tabac pour s’opposer au conditionnement neutre sont presque toutes non évaluées par des pairs, non vérifiables et ignorent ou rejettent avec insouciance les preuves mondiales qui soutiennent l’efficacité de la politique.</w:t>
      </w:r>
      <w:r w:rsidRPr="00D80731">
        <w:rPr>
          <w:rStyle w:val="EndnoteReference"/>
          <w:rFonts w:ascii="Arial" w:hAnsi="Arial" w:cs="Arial"/>
        </w:rPr>
        <w:endnoteReference w:id="6"/>
      </w:r>
      <w:r>
        <w:rPr>
          <w:rFonts w:ascii="Arial" w:hAnsi="Arial"/>
        </w:rPr>
        <w:t xml:space="preserve"> </w:t>
      </w:r>
    </w:p>
    <w:p w:rsidR="00FB0F7A" w:rsidRPr="00D80731" w:rsidRDefault="00FB0F7A" w:rsidP="000C0DAB">
      <w:pPr>
        <w:ind w:right="1123"/>
        <w:jc w:val="both"/>
        <w:rPr>
          <w:rFonts w:ascii="Arial" w:hAnsi="Arial" w:cs="Arial"/>
        </w:rPr>
      </w:pPr>
      <w:bookmarkStart w:id="0" w:name="_GoBack"/>
      <w:bookmarkEnd w:id="0"/>
    </w:p>
    <w:p w:rsidR="00E7738C" w:rsidRPr="00493782" w:rsidRDefault="00AC7AB7" w:rsidP="00493782">
      <w:pPr>
        <w:tabs>
          <w:tab w:val="left" w:pos="6663"/>
        </w:tabs>
        <w:ind w:left="709" w:right="1123"/>
        <w:rPr>
          <w:rFonts w:ascii="Arial" w:hAnsi="Arial" w:cs="Arial"/>
          <w:color w:val="FFFFFF" w:themeColor="background1"/>
          <w:sz w:val="28"/>
        </w:rPr>
      </w:pPr>
      <w:r>
        <w:rPr>
          <w:rFonts w:ascii="Arial" w:hAnsi="Arial"/>
          <w:b/>
          <w:color w:val="726E52"/>
          <w:sz w:val="32"/>
          <w:szCs w:val="32"/>
        </w:rPr>
        <w:t xml:space="preserve">Est-ce légal ? </w:t>
      </w:r>
    </w:p>
    <w:p w:rsidR="00E7738C" w:rsidRPr="00D80731" w:rsidRDefault="00E7738C" w:rsidP="00BC1B15">
      <w:pPr>
        <w:ind w:left="709" w:right="1123"/>
        <w:jc w:val="both"/>
        <w:rPr>
          <w:rFonts w:ascii="Arial" w:hAnsi="Arial" w:cs="Arial"/>
        </w:rPr>
      </w:pPr>
      <w:r>
        <w:rPr>
          <w:rFonts w:ascii="Arial" w:hAnsi="Arial"/>
          <w:b/>
        </w:rPr>
        <w:t>Oui.</w:t>
      </w:r>
      <w:r>
        <w:rPr>
          <w:rFonts w:ascii="Arial" w:hAnsi="Arial"/>
        </w:rPr>
        <w:t xml:space="preserve"> Le </w:t>
      </w:r>
      <w:r>
        <w:rPr>
          <w:rFonts w:ascii="Arial" w:hAnsi="Arial"/>
          <w:b/>
        </w:rPr>
        <w:t>conditionnement neutre est recommandé par les directives pour l’application des articles 11 et 13 de la Convention-cadre</w:t>
      </w:r>
      <w:r w:rsidR="001864B3">
        <w:rPr>
          <w:rFonts w:ascii="Arial" w:hAnsi="Arial"/>
          <w:b/>
        </w:rPr>
        <w:t xml:space="preserve"> de l’OMS</w:t>
      </w:r>
      <w:r>
        <w:rPr>
          <w:rFonts w:ascii="Arial" w:hAnsi="Arial"/>
          <w:b/>
        </w:rPr>
        <w:t xml:space="preserve"> pour la lutte antitabac</w:t>
      </w:r>
      <w:r w:rsidRPr="00D80731">
        <w:rPr>
          <w:rStyle w:val="EndnoteReference"/>
          <w:rFonts w:ascii="Arial" w:hAnsi="Arial" w:cs="Arial"/>
        </w:rPr>
        <w:endnoteReference w:id="7"/>
      </w:r>
      <w:r>
        <w:rPr>
          <w:rFonts w:ascii="Arial" w:hAnsi="Arial"/>
        </w:rPr>
        <w:t xml:space="preserve">, l’un des traités internationaux les plus largement ratifiés dans le monde. </w:t>
      </w:r>
    </w:p>
    <w:p w:rsidR="00E7738C" w:rsidRPr="00D80731" w:rsidRDefault="00E7738C" w:rsidP="00BC1B15">
      <w:pPr>
        <w:ind w:left="709" w:right="1123"/>
        <w:jc w:val="both"/>
        <w:rPr>
          <w:rFonts w:ascii="Arial" w:hAnsi="Arial" w:cs="Arial"/>
        </w:rPr>
      </w:pPr>
      <w:r>
        <w:rPr>
          <w:rFonts w:ascii="Arial" w:hAnsi="Arial"/>
        </w:rPr>
        <w:t xml:space="preserve">L’industrie du tabac tente d'invoquer le fait que le conditionnement neutre est contraire aux accords de l’Organisation mondiale du Commerce, aux lois relatives à la propriété intellectuelle et aux constitutions nationales. Ces arguments ont été constamment rejetés par les cours et les tribunaux nationaux et internationaux. </w:t>
      </w:r>
    </w:p>
    <w:p w:rsidR="00E7738C" w:rsidRDefault="00E7738C" w:rsidP="00BC1B15">
      <w:pPr>
        <w:ind w:left="709" w:right="1123"/>
        <w:jc w:val="both"/>
        <w:rPr>
          <w:rFonts w:ascii="Arial" w:hAnsi="Arial" w:cs="Arial"/>
        </w:rPr>
      </w:pPr>
      <w:r>
        <w:rPr>
          <w:rFonts w:ascii="Arial" w:hAnsi="Arial"/>
        </w:rPr>
        <w:t>L’industrie du tabac a entamé des actions en justice contre la législation relative au conditionnement neutre en Australie, au Royaume-Uni, en France, en Norvège et en Irlande.</w:t>
      </w:r>
      <w:r w:rsidRPr="00D80731">
        <w:rPr>
          <w:rStyle w:val="EndnoteReference"/>
          <w:rFonts w:ascii="Arial" w:hAnsi="Arial" w:cs="Arial"/>
        </w:rPr>
        <w:endnoteReference w:id="8"/>
      </w:r>
      <w:r>
        <w:rPr>
          <w:rFonts w:ascii="Arial" w:hAnsi="Arial"/>
        </w:rPr>
        <w:t xml:space="preserve"> </w:t>
      </w:r>
      <w:r>
        <w:rPr>
          <w:rFonts w:ascii="Arial" w:hAnsi="Arial"/>
          <w:b/>
        </w:rPr>
        <w:t>Toutes ces réclamations en justice ont été rejetées ou annulées.</w:t>
      </w:r>
      <w:r>
        <w:rPr>
          <w:rFonts w:ascii="Arial" w:hAnsi="Arial"/>
        </w:rPr>
        <w:t xml:space="preserve"> Philip Morris a également essayé de déposer une demande d’arbitrage international</w:t>
      </w:r>
      <w:r w:rsidR="001864B3">
        <w:rPr>
          <w:rFonts w:ascii="Arial" w:hAnsi="Arial"/>
        </w:rPr>
        <w:t xml:space="preserve"> relatif aux investissements</w:t>
      </w:r>
      <w:r>
        <w:rPr>
          <w:rFonts w:ascii="Arial" w:hAnsi="Arial"/>
        </w:rPr>
        <w:t xml:space="preserve"> contre l’Austral</w:t>
      </w:r>
      <w:r w:rsidR="001864B3">
        <w:rPr>
          <w:rFonts w:ascii="Arial" w:hAnsi="Arial"/>
        </w:rPr>
        <w:t>ie</w:t>
      </w:r>
      <w:r>
        <w:rPr>
          <w:rFonts w:ascii="Arial" w:hAnsi="Arial"/>
        </w:rPr>
        <w:t>, laquelle a été rejetée par le tribunal au motif d'un « abus de droits ».</w:t>
      </w:r>
      <w:r w:rsidRPr="00D80731">
        <w:rPr>
          <w:rStyle w:val="EndnoteReference"/>
          <w:rFonts w:ascii="Arial" w:hAnsi="Arial" w:cs="Arial"/>
        </w:rPr>
        <w:endnoteReference w:id="9"/>
      </w:r>
      <w:r>
        <w:rPr>
          <w:rFonts w:ascii="Arial" w:hAnsi="Arial"/>
        </w:rPr>
        <w:t xml:space="preserve"> </w:t>
      </w:r>
    </w:p>
    <w:p w:rsidR="003A7CB0" w:rsidRDefault="003A7CB0" w:rsidP="00BC1B15">
      <w:pPr>
        <w:ind w:left="709" w:right="1123"/>
        <w:jc w:val="both"/>
        <w:rPr>
          <w:rFonts w:ascii="Arial" w:hAnsi="Arial" w:cs="Arial"/>
        </w:rPr>
      </w:pPr>
    </w:p>
    <w:p w:rsidR="003A7CB0" w:rsidRDefault="007C57C6" w:rsidP="00BC1B15">
      <w:pPr>
        <w:ind w:left="709" w:right="1123"/>
        <w:jc w:val="both"/>
        <w:rPr>
          <w:rFonts w:ascii="Arial" w:hAnsi="Arial" w:cs="Arial"/>
        </w:rPr>
      </w:pPr>
      <w:r>
        <w:rPr>
          <w:noProof/>
          <w:sz w:val="18"/>
          <w:szCs w:val="18"/>
          <w:lang w:val="en-US"/>
        </w:rPr>
        <w:drawing>
          <wp:anchor distT="0" distB="0" distL="114300" distR="114300" simplePos="0" relativeHeight="251702784" behindDoc="0" locked="0" layoutInCell="1" allowOverlap="1">
            <wp:simplePos x="0" y="0"/>
            <wp:positionH relativeFrom="column">
              <wp:posOffset>3753293</wp:posOffset>
            </wp:positionH>
            <wp:positionV relativeFrom="paragraph">
              <wp:posOffset>123795</wp:posOffset>
            </wp:positionV>
            <wp:extent cx="3020001" cy="2329180"/>
            <wp:effectExtent l="38100" t="38100" r="47625" b="330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ain cigarettes in gantry.jpg"/>
                    <pic:cNvPicPr/>
                  </pic:nvPicPr>
                  <pic:blipFill rotWithShape="1">
                    <a:blip r:embed="rId11">
                      <a:extLst>
                        <a:ext uri="{28A0092B-C50C-407E-A947-70E740481C1C}">
                          <a14:useLocalDpi xmlns:a14="http://schemas.microsoft.com/office/drawing/2010/main" val="0"/>
                        </a:ext>
                      </a:extLst>
                    </a:blip>
                    <a:srcRect r="13610"/>
                    <a:stretch/>
                  </pic:blipFill>
                  <pic:spPr bwMode="auto">
                    <a:xfrm>
                      <a:off x="0" y="0"/>
                      <a:ext cx="3023750" cy="2332071"/>
                    </a:xfrm>
                    <a:prstGeom prst="rect">
                      <a:avLst/>
                    </a:prstGeom>
                    <a:ln w="28575">
                      <a:solidFill>
                        <a:schemeClr val="tx1"/>
                      </a:solidFill>
                    </a:ln>
                    <a:extLst>
                      <a:ext uri="{53640926-AAD7-44D8-BBD7-CCE9431645EC}">
                        <a14:shadowObscured xmlns:a14="http://schemas.microsoft.com/office/drawing/2010/main"/>
                      </a:ext>
                    </a:extLst>
                  </pic:spPr>
                </pic:pic>
              </a:graphicData>
            </a:graphic>
          </wp:anchor>
        </w:drawing>
      </w:r>
      <w:r>
        <w:rPr>
          <w:noProof/>
          <w:lang w:val="en-US"/>
        </w:rPr>
        <w:drawing>
          <wp:anchor distT="0" distB="0" distL="114300" distR="114300" simplePos="0" relativeHeight="251691520" behindDoc="0" locked="0" layoutInCell="1" allowOverlap="1">
            <wp:simplePos x="0" y="0"/>
            <wp:positionH relativeFrom="column">
              <wp:posOffset>457200</wp:posOffset>
            </wp:positionH>
            <wp:positionV relativeFrom="paragraph">
              <wp:posOffset>123795</wp:posOffset>
            </wp:positionV>
            <wp:extent cx="3062177" cy="2329505"/>
            <wp:effectExtent l="19050" t="19050" r="24130" b="139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39484"/>
                    <a:stretch/>
                  </pic:blipFill>
                  <pic:spPr bwMode="auto">
                    <a:xfrm>
                      <a:off x="0" y="0"/>
                      <a:ext cx="3068920" cy="2334635"/>
                    </a:xfrm>
                    <a:prstGeom prst="rect">
                      <a:avLst/>
                    </a:prstGeom>
                    <a:noFill/>
                    <a:ln w="19050">
                      <a:solidFill>
                        <a:schemeClr val="tx1"/>
                      </a:solidFill>
                    </a:ln>
                    <a:extLst>
                      <a:ext uri="{53640926-AAD7-44D8-BBD7-CCE9431645EC}">
                        <a14:shadowObscured xmlns:a14="http://schemas.microsoft.com/office/drawing/2010/main"/>
                      </a:ext>
                    </a:extLst>
                  </pic:spPr>
                </pic:pic>
              </a:graphicData>
            </a:graphic>
          </wp:anchor>
        </w:drawing>
      </w:r>
    </w:p>
    <w:p w:rsidR="003A7CB0" w:rsidRDefault="003A7CB0" w:rsidP="003A7CB0">
      <w:pPr>
        <w:ind w:right="1123"/>
        <w:jc w:val="both"/>
        <w:rPr>
          <w:rFonts w:ascii="Arial" w:hAnsi="Arial" w:cs="Arial"/>
        </w:rPr>
      </w:pPr>
    </w:p>
    <w:p w:rsidR="00FB0F7A" w:rsidRDefault="00FB0F7A" w:rsidP="00BC1B15">
      <w:pPr>
        <w:ind w:left="709" w:right="1123"/>
        <w:jc w:val="both"/>
        <w:rPr>
          <w:rFonts w:ascii="Arial" w:hAnsi="Arial" w:cs="Arial"/>
        </w:rPr>
      </w:pPr>
    </w:p>
    <w:p w:rsidR="00FB0F7A" w:rsidRDefault="00FB0F7A" w:rsidP="00BC1B15">
      <w:pPr>
        <w:ind w:left="709" w:right="1123"/>
        <w:jc w:val="both"/>
        <w:rPr>
          <w:rFonts w:ascii="Arial" w:hAnsi="Arial" w:cs="Arial"/>
        </w:rPr>
      </w:pPr>
    </w:p>
    <w:p w:rsidR="003A7CB0" w:rsidRDefault="003A7CB0" w:rsidP="00BC1B15">
      <w:pPr>
        <w:ind w:left="709" w:right="1123"/>
        <w:jc w:val="both"/>
        <w:rPr>
          <w:rFonts w:ascii="Arial" w:hAnsi="Arial" w:cs="Arial"/>
        </w:rPr>
      </w:pPr>
    </w:p>
    <w:p w:rsidR="003A7CB0" w:rsidRDefault="003A7CB0" w:rsidP="00BC1B15">
      <w:pPr>
        <w:ind w:left="709" w:right="1123"/>
        <w:jc w:val="both"/>
        <w:rPr>
          <w:rFonts w:ascii="Arial" w:hAnsi="Arial" w:cs="Arial"/>
        </w:rPr>
      </w:pPr>
    </w:p>
    <w:p w:rsidR="003A7CB0" w:rsidRDefault="003A7CB0" w:rsidP="00BC1B15">
      <w:pPr>
        <w:ind w:left="709" w:right="1123"/>
        <w:jc w:val="both"/>
        <w:rPr>
          <w:rFonts w:ascii="Arial" w:hAnsi="Arial" w:cs="Arial"/>
        </w:rPr>
      </w:pPr>
    </w:p>
    <w:p w:rsidR="003A7CB0" w:rsidRDefault="003A7CB0" w:rsidP="00BC1B15">
      <w:pPr>
        <w:ind w:left="709" w:right="1123"/>
        <w:jc w:val="both"/>
        <w:rPr>
          <w:rFonts w:ascii="Arial" w:hAnsi="Arial" w:cs="Arial"/>
        </w:rPr>
      </w:pPr>
    </w:p>
    <w:p w:rsidR="003A7CB0" w:rsidRDefault="003A7CB0" w:rsidP="003A7CB0">
      <w:pPr>
        <w:ind w:right="1123"/>
        <w:jc w:val="both"/>
        <w:rPr>
          <w:rFonts w:ascii="Arial" w:hAnsi="Arial" w:cs="Arial"/>
        </w:rPr>
      </w:pPr>
    </w:p>
    <w:p w:rsidR="00FB0F7A" w:rsidRDefault="00FB0F7A" w:rsidP="003A7CB0">
      <w:pPr>
        <w:ind w:right="1123"/>
        <w:jc w:val="both"/>
        <w:rPr>
          <w:rFonts w:ascii="Arial" w:hAnsi="Arial" w:cs="Arial"/>
        </w:rPr>
      </w:pPr>
    </w:p>
    <w:sectPr w:rsidR="00FB0F7A" w:rsidSect="003A7CB0">
      <w:footerReference w:type="default" r:id="rId13"/>
      <w:endnotePr>
        <w:numFmt w:val="decimal"/>
      </w:endnotePr>
      <w:pgSz w:w="11906" w:h="16838"/>
      <w:pgMar w:top="568" w:right="707" w:bottom="709"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7C0" w:rsidRDefault="005677C0" w:rsidP="00FE66FF">
      <w:pPr>
        <w:spacing w:after="0" w:line="240" w:lineRule="auto"/>
      </w:pPr>
      <w:r>
        <w:separator/>
      </w:r>
    </w:p>
  </w:endnote>
  <w:endnote w:type="continuationSeparator" w:id="0">
    <w:p w:rsidR="005677C0" w:rsidRDefault="005677C0" w:rsidP="00FE66FF">
      <w:pPr>
        <w:spacing w:after="0" w:line="240" w:lineRule="auto"/>
      </w:pPr>
      <w:r>
        <w:continuationSeparator/>
      </w:r>
    </w:p>
  </w:endnote>
  <w:endnote w:id="1">
    <w:p w:rsidR="000D5380" w:rsidRPr="00E45A8E" w:rsidRDefault="000D5380" w:rsidP="00D80731">
      <w:pPr>
        <w:pStyle w:val="EndnoteText"/>
        <w:ind w:right="840"/>
        <w:rPr>
          <w:sz w:val="18"/>
          <w:szCs w:val="18"/>
        </w:rPr>
      </w:pPr>
      <w:r>
        <w:rPr>
          <w:rStyle w:val="EndnoteReference"/>
          <w:sz w:val="18"/>
          <w:szCs w:val="18"/>
        </w:rPr>
        <w:endnoteRef/>
      </w:r>
      <w:r w:rsidRPr="000C0DAB">
        <w:rPr>
          <w:sz w:val="18"/>
          <w:szCs w:val="18"/>
          <w:lang w:val="en-US"/>
        </w:rPr>
        <w:t xml:space="preserve"> M. Wakefield et al. The cigarette pack as image: new evidence from tobacco industry documents. </w:t>
      </w:r>
      <w:r>
        <w:rPr>
          <w:i/>
          <w:sz w:val="18"/>
          <w:szCs w:val="18"/>
        </w:rPr>
        <w:t>Tobacco Control</w:t>
      </w:r>
      <w:r>
        <w:rPr>
          <w:sz w:val="18"/>
          <w:szCs w:val="18"/>
        </w:rPr>
        <w:t xml:space="preserve">. 11(suppl.1):i73−i80, 2002. Disponible à l'adresse : </w:t>
      </w:r>
      <w:hyperlink r:id="rId1" w:history="1">
        <w:r>
          <w:rPr>
            <w:rStyle w:val="Hyperlink"/>
            <w:sz w:val="18"/>
            <w:szCs w:val="18"/>
          </w:rPr>
          <w:t>http://tobaccocontrol.bmj.com/content/11/suppl_1/i73.full</w:t>
        </w:r>
      </w:hyperlink>
      <w:r>
        <w:rPr>
          <w:rStyle w:val="Hyperlink"/>
          <w:sz w:val="18"/>
          <w:szCs w:val="18"/>
        </w:rPr>
        <w:t>.</w:t>
      </w:r>
    </w:p>
  </w:endnote>
  <w:endnote w:id="2">
    <w:p w:rsidR="000D5380" w:rsidRPr="00E45A8E" w:rsidRDefault="000D5380" w:rsidP="00D80731">
      <w:pPr>
        <w:pStyle w:val="EndnoteText"/>
        <w:ind w:right="840"/>
        <w:rPr>
          <w:sz w:val="18"/>
          <w:szCs w:val="18"/>
        </w:rPr>
      </w:pPr>
      <w:r>
        <w:rPr>
          <w:rStyle w:val="EndnoteReference"/>
          <w:sz w:val="18"/>
          <w:szCs w:val="18"/>
        </w:rPr>
        <w:endnoteRef/>
      </w:r>
      <w:r>
        <w:rPr>
          <w:sz w:val="18"/>
          <w:szCs w:val="18"/>
        </w:rPr>
        <w:t xml:space="preserve"> Une liste actualisée des pays ayant adopté la législation ou envisageant la politique est disponible à l’adresse : </w:t>
      </w:r>
      <w:hyperlink r:id="rId2" w:history="1">
        <w:r>
          <w:rPr>
            <w:rStyle w:val="Hyperlink"/>
            <w:sz w:val="18"/>
            <w:szCs w:val="18"/>
          </w:rPr>
          <w:t>http://global.tobaccofreekids.org/files/pdfs/en/standardized_packaging_developments_en.pdf</w:t>
        </w:r>
      </w:hyperlink>
      <w:r>
        <w:rPr>
          <w:sz w:val="18"/>
          <w:szCs w:val="18"/>
        </w:rPr>
        <w:t>.</w:t>
      </w:r>
    </w:p>
  </w:endnote>
  <w:endnote w:id="3">
    <w:p w:rsidR="000D5380" w:rsidRPr="00E45A8E" w:rsidRDefault="000D5380" w:rsidP="00D80731">
      <w:pPr>
        <w:pStyle w:val="EndnoteText"/>
        <w:ind w:right="840"/>
        <w:rPr>
          <w:sz w:val="18"/>
          <w:szCs w:val="18"/>
        </w:rPr>
      </w:pPr>
      <w:r>
        <w:rPr>
          <w:rStyle w:val="EndnoteReference"/>
          <w:sz w:val="18"/>
          <w:szCs w:val="18"/>
        </w:rPr>
        <w:endnoteRef/>
      </w:r>
      <w:r>
        <w:rPr>
          <w:sz w:val="18"/>
          <w:szCs w:val="18"/>
        </w:rPr>
        <w:t xml:space="preserve"> L’examen d</w:t>
      </w:r>
      <w:r w:rsidR="001864B3">
        <w:rPr>
          <w:sz w:val="18"/>
          <w:szCs w:val="18"/>
        </w:rPr>
        <w:t>e l’organisation</w:t>
      </w:r>
      <w:r>
        <w:rPr>
          <w:sz w:val="18"/>
          <w:szCs w:val="18"/>
        </w:rPr>
        <w:t xml:space="preserve"> Cancer Council Victoria (Australie 2011) est disponible à l’adresse : </w:t>
      </w:r>
      <w:hyperlink r:id="rId3" w:history="1">
        <w:r>
          <w:rPr>
            <w:rStyle w:val="Hyperlink"/>
            <w:sz w:val="18"/>
            <w:szCs w:val="18"/>
          </w:rPr>
          <w:t>Http://www.cancervic.org.au/plainfacts/plainfacts-evidence</w:t>
        </w:r>
      </w:hyperlink>
      <w:r>
        <w:rPr>
          <w:sz w:val="18"/>
          <w:szCs w:val="18"/>
        </w:rPr>
        <w:t xml:space="preserve"> ; l’examen de </w:t>
      </w:r>
      <w:r w:rsidR="001864B3">
        <w:rPr>
          <w:sz w:val="18"/>
          <w:szCs w:val="18"/>
        </w:rPr>
        <w:t xml:space="preserve">l’université de </w:t>
      </w:r>
      <w:r>
        <w:rPr>
          <w:sz w:val="18"/>
          <w:szCs w:val="18"/>
        </w:rPr>
        <w:t xml:space="preserve">Stirling (Royaume-Uni 2012 et mise à jour 2013) est disponible à l’adresse : </w:t>
      </w:r>
      <w:hyperlink r:id="rId4" w:history="1">
        <w:r>
          <w:rPr>
            <w:rStyle w:val="Hyperlink"/>
            <w:sz w:val="18"/>
            <w:szCs w:val="18"/>
          </w:rPr>
          <w:t>Http://phrc.lshtm.ac.uk/project_2011-2016_006.html</w:t>
        </w:r>
      </w:hyperlink>
      <w:r>
        <w:rPr>
          <w:sz w:val="18"/>
          <w:szCs w:val="18"/>
        </w:rPr>
        <w:t xml:space="preserve"> ; l’examen de </w:t>
      </w:r>
      <w:r w:rsidR="00407869">
        <w:rPr>
          <w:sz w:val="18"/>
          <w:szCs w:val="18"/>
        </w:rPr>
        <w:t xml:space="preserve">Sir </w:t>
      </w:r>
      <w:r>
        <w:rPr>
          <w:sz w:val="18"/>
          <w:szCs w:val="18"/>
        </w:rPr>
        <w:t xml:space="preserve">Chantler (Royaume-Uni 2014) est disponible à l’adresse : </w:t>
      </w:r>
      <w:hyperlink r:id="rId5" w:history="1">
        <w:r>
          <w:rPr>
            <w:rStyle w:val="Hyperlink"/>
            <w:sz w:val="18"/>
            <w:szCs w:val="18"/>
          </w:rPr>
          <w:t>http://www.kcl.ac.uk/health/10035-TSO-2901853-Chantler-Review-ACCESSIBLE.PDF</w:t>
        </w:r>
      </w:hyperlink>
      <w:r>
        <w:rPr>
          <w:rStyle w:val="Hyperlink"/>
          <w:sz w:val="18"/>
          <w:szCs w:val="18"/>
        </w:rPr>
        <w:t xml:space="preserve"> ; </w:t>
      </w:r>
      <w:r>
        <w:rPr>
          <w:sz w:val="18"/>
          <w:szCs w:val="18"/>
        </w:rPr>
        <w:t xml:space="preserve">et l’examen de </w:t>
      </w:r>
      <w:r w:rsidR="00407869">
        <w:rPr>
          <w:sz w:val="18"/>
          <w:szCs w:val="18"/>
        </w:rPr>
        <w:t>M. </w:t>
      </w:r>
      <w:r>
        <w:rPr>
          <w:sz w:val="18"/>
          <w:szCs w:val="18"/>
        </w:rPr>
        <w:t xml:space="preserve">Hammond (Irlande 2014) est disponible à l’adresse : </w:t>
      </w:r>
      <w:hyperlink r:id="rId6" w:history="1">
        <w:r>
          <w:rPr>
            <w:rStyle w:val="Hyperlink"/>
            <w:sz w:val="18"/>
            <w:szCs w:val="18"/>
          </w:rPr>
          <w:t>Http://health.gov.ie/blog/publications/standardised-packaging-d-hammond/</w:t>
        </w:r>
      </w:hyperlink>
      <w:r>
        <w:t> </w:t>
      </w:r>
      <w:r>
        <w:rPr>
          <w:sz w:val="18"/>
          <w:szCs w:val="18"/>
        </w:rPr>
        <w:t xml:space="preserve">; la revue Cochrane (2017) est disponible à l’adresse </w:t>
      </w:r>
      <w:hyperlink r:id="rId7" w:history="1">
        <w:r>
          <w:rPr>
            <w:rStyle w:val="Hyperlink"/>
            <w:sz w:val="18"/>
            <w:szCs w:val="18"/>
          </w:rPr>
          <w:t>http://onlinelibrary.wiley.com/doi/10.1002/14651858.CD011244.pub2/abstract</w:t>
        </w:r>
      </w:hyperlink>
      <w:r>
        <w:rPr>
          <w:sz w:val="18"/>
          <w:szCs w:val="18"/>
        </w:rPr>
        <w:t xml:space="preserve">. </w:t>
      </w:r>
    </w:p>
  </w:endnote>
  <w:endnote w:id="4">
    <w:p w:rsidR="000D5380" w:rsidRPr="00E45A8E" w:rsidRDefault="000D5380" w:rsidP="00D80731">
      <w:pPr>
        <w:pStyle w:val="EndnoteText"/>
        <w:ind w:right="840"/>
        <w:rPr>
          <w:sz w:val="18"/>
          <w:szCs w:val="18"/>
        </w:rPr>
      </w:pPr>
      <w:r>
        <w:rPr>
          <w:rStyle w:val="EndnoteReference"/>
          <w:sz w:val="18"/>
          <w:szCs w:val="18"/>
        </w:rPr>
        <w:endnoteRef/>
      </w:r>
      <w:r>
        <w:rPr>
          <w:sz w:val="18"/>
          <w:szCs w:val="18"/>
        </w:rPr>
        <w:t xml:space="preserve"> L’examen mené par le gouvernement australien après la mise en œuvre a été publié en février 2016 et il a abouti à la conclusion selon laquelle le conditionnement neutre avait eu un effet positif. Disponible à l'adresse : </w:t>
      </w:r>
      <w:hyperlink r:id="rId8" w:history="1">
        <w:r>
          <w:rPr>
            <w:rStyle w:val="Hyperlink"/>
            <w:sz w:val="18"/>
            <w:szCs w:val="18"/>
          </w:rPr>
          <w:t>https://ris.govspace.gov.au/2016/02/26/tobacco-plain-packaging/</w:t>
        </w:r>
      </w:hyperlink>
      <w:r>
        <w:rPr>
          <w:sz w:val="18"/>
          <w:szCs w:val="18"/>
        </w:rPr>
        <w:t>.</w:t>
      </w:r>
    </w:p>
  </w:endnote>
  <w:endnote w:id="5">
    <w:p w:rsidR="000D5380" w:rsidRPr="00E45A8E" w:rsidRDefault="000D5380" w:rsidP="00D80731">
      <w:pPr>
        <w:pStyle w:val="EndnoteText"/>
        <w:ind w:right="840"/>
        <w:rPr>
          <w:sz w:val="18"/>
          <w:szCs w:val="18"/>
        </w:rPr>
      </w:pPr>
      <w:r>
        <w:rPr>
          <w:rStyle w:val="EndnoteReference"/>
          <w:sz w:val="18"/>
          <w:szCs w:val="18"/>
        </w:rPr>
        <w:endnoteRef/>
      </w:r>
      <w:r>
        <w:rPr>
          <w:sz w:val="18"/>
          <w:szCs w:val="18"/>
        </w:rPr>
        <w:t xml:space="preserve"> </w:t>
      </w:r>
      <w:r>
        <w:t>Voir</w:t>
      </w:r>
      <w:r>
        <w:rPr>
          <w:sz w:val="18"/>
          <w:szCs w:val="18"/>
        </w:rPr>
        <w:t xml:space="preserve"> </w:t>
      </w:r>
      <w:r>
        <w:rPr>
          <w:rStyle w:val="Hyperlink"/>
          <w:sz w:val="18"/>
          <w:szCs w:val="18"/>
        </w:rPr>
        <w:t>http://www.ft.com/cms/s/0/6248cfee-11e3-11e6-91da-096d89bd2173.html#axzz48RqRYYOE</w:t>
      </w:r>
      <w:r>
        <w:rPr>
          <w:sz w:val="18"/>
          <w:szCs w:val="18"/>
        </w:rPr>
        <w:t>.</w:t>
      </w:r>
    </w:p>
  </w:endnote>
  <w:endnote w:id="6">
    <w:p w:rsidR="000D5380" w:rsidRPr="00E45A8E" w:rsidRDefault="000D5380" w:rsidP="00D80731">
      <w:pPr>
        <w:pStyle w:val="EndnoteText"/>
        <w:ind w:right="840"/>
        <w:rPr>
          <w:sz w:val="18"/>
          <w:szCs w:val="18"/>
        </w:rPr>
      </w:pPr>
      <w:r>
        <w:rPr>
          <w:rStyle w:val="EndnoteReference"/>
          <w:sz w:val="18"/>
          <w:szCs w:val="18"/>
        </w:rPr>
        <w:endnoteRef/>
      </w:r>
      <w:r>
        <w:rPr>
          <w:sz w:val="18"/>
          <w:szCs w:val="18"/>
        </w:rPr>
        <w:t xml:space="preserve"> Le juge de la Haute Cour du Royaume-Uni a souligné le fait que l’industrie du tabac n’avait divulgué aucune de ses recherches et données, et il a vivement critiqué les experts cités par les fabricants de tabac. Voir note 8 pour la référence de l’affaire. </w:t>
      </w:r>
    </w:p>
  </w:endnote>
  <w:endnote w:id="7">
    <w:p w:rsidR="000D5380" w:rsidRPr="00E45A8E" w:rsidRDefault="000D5380" w:rsidP="00D80731">
      <w:pPr>
        <w:pStyle w:val="EndnoteText"/>
        <w:ind w:right="840"/>
        <w:rPr>
          <w:sz w:val="18"/>
          <w:szCs w:val="18"/>
        </w:rPr>
      </w:pPr>
      <w:r>
        <w:rPr>
          <w:rStyle w:val="EndnoteReference"/>
          <w:sz w:val="18"/>
          <w:szCs w:val="18"/>
        </w:rPr>
        <w:endnoteRef/>
      </w:r>
      <w:r>
        <w:rPr>
          <w:sz w:val="18"/>
          <w:szCs w:val="18"/>
        </w:rPr>
        <w:t xml:space="preserve"> </w:t>
      </w:r>
      <w:r>
        <w:t>Voir</w:t>
      </w:r>
      <w:r>
        <w:rPr>
          <w:sz w:val="18"/>
          <w:szCs w:val="18"/>
        </w:rPr>
        <w:t xml:space="preserve"> </w:t>
      </w:r>
      <w:hyperlink r:id="rId9" w:history="1">
        <w:r>
          <w:rPr>
            <w:rStyle w:val="Hyperlink"/>
            <w:sz w:val="18"/>
            <w:szCs w:val="18"/>
          </w:rPr>
          <w:t>http://www.who.int/fctc/guidelines/adopted/guidel_2011/en/</w:t>
        </w:r>
      </w:hyperlink>
      <w:r>
        <w:rPr>
          <w:rStyle w:val="Hyperlink"/>
          <w:sz w:val="18"/>
          <w:szCs w:val="18"/>
        </w:rPr>
        <w:t>.</w:t>
      </w:r>
      <w:r>
        <w:rPr>
          <w:sz w:val="18"/>
          <w:szCs w:val="18"/>
        </w:rPr>
        <w:t xml:space="preserve"> </w:t>
      </w:r>
    </w:p>
  </w:endnote>
  <w:endnote w:id="8">
    <w:p w:rsidR="000D5380" w:rsidRPr="00E45A8E" w:rsidRDefault="000D5380" w:rsidP="00D80731">
      <w:pPr>
        <w:pStyle w:val="EndnoteText"/>
        <w:ind w:right="840"/>
        <w:rPr>
          <w:sz w:val="18"/>
          <w:szCs w:val="18"/>
        </w:rPr>
      </w:pPr>
      <w:r>
        <w:rPr>
          <w:rStyle w:val="EndnoteReference"/>
          <w:sz w:val="18"/>
          <w:szCs w:val="18"/>
        </w:rPr>
        <w:endnoteRef/>
      </w:r>
      <w:r>
        <w:rPr>
          <w:sz w:val="18"/>
          <w:szCs w:val="18"/>
        </w:rPr>
        <w:t xml:space="preserve">  i)</w:t>
      </w:r>
      <w:r w:rsidR="00407869">
        <w:rPr>
          <w:sz w:val="18"/>
          <w:szCs w:val="18"/>
        </w:rPr>
        <w:t xml:space="preserve"> </w:t>
      </w:r>
      <w:r w:rsidR="00407869" w:rsidRPr="00407869">
        <w:rPr>
          <w:sz w:val="18"/>
          <w:szCs w:val="18"/>
        </w:rPr>
        <w:t xml:space="preserve"> R (British American Tobacco &amp; Ors) v. Secretary of State for Health [2016] EWHC 1169 (Admin) ii) JT International SA v. The Commonwealth of Australia [2012] HCA 43, Haute Cour d’Australie, Décision 15 août 2012, Conclusions 5 octobre 2012 iii) CE, 23 décembre 016, société JT International SA, Société d'exploitation industrielle des tabacs et des allumettes, société Philip Morris France SA et autres iv) JTI v. Minister for Health, Ireland and the Attorney General n° 2015/2530P.</w:t>
      </w:r>
      <w:r>
        <w:rPr>
          <w:sz w:val="18"/>
          <w:szCs w:val="18"/>
        </w:rPr>
        <w:t>.</w:t>
      </w:r>
    </w:p>
  </w:endnote>
  <w:endnote w:id="9">
    <w:p w:rsidR="000D5380" w:rsidRPr="00E45A8E" w:rsidRDefault="000D5380" w:rsidP="00D80731">
      <w:pPr>
        <w:pStyle w:val="EndnoteText"/>
        <w:ind w:right="840"/>
        <w:rPr>
          <w:sz w:val="18"/>
          <w:szCs w:val="18"/>
        </w:rPr>
      </w:pPr>
      <w:r>
        <w:rPr>
          <w:rStyle w:val="EndnoteReference"/>
          <w:sz w:val="18"/>
          <w:szCs w:val="18"/>
        </w:rPr>
        <w:endnoteRef/>
      </w:r>
      <w:r w:rsidRPr="000C0DAB">
        <w:rPr>
          <w:sz w:val="18"/>
          <w:szCs w:val="18"/>
          <w:lang w:val="en-US"/>
        </w:rPr>
        <w:t xml:space="preserve"> Philip Morris Asia Limited </w:t>
      </w:r>
      <w:r w:rsidRPr="000C0DAB">
        <w:rPr>
          <w:i/>
          <w:sz w:val="18"/>
          <w:szCs w:val="18"/>
          <w:lang w:val="en-US"/>
        </w:rPr>
        <w:t>c.</w:t>
      </w:r>
      <w:r w:rsidRPr="000C0DAB">
        <w:rPr>
          <w:sz w:val="18"/>
          <w:szCs w:val="18"/>
          <w:lang w:val="en-US"/>
        </w:rPr>
        <w:t xml:space="preserve"> Le Commonwealth d’Australie. </w:t>
      </w:r>
      <w:r>
        <w:rPr>
          <w:sz w:val="18"/>
          <w:szCs w:val="18"/>
        </w:rPr>
        <w:t>PCA Affaire n° 2012-12.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7C6" w:rsidRDefault="00493782" w:rsidP="00493782">
    <w:pPr>
      <w:pStyle w:val="Footer"/>
      <w:jc w:val="right"/>
    </w:pPr>
    <w:r>
      <w:rPr>
        <w:color w:val="1F4E79" w:themeColor="accent1" w:themeShade="80"/>
      </w:rPr>
      <w:t>Document d’information sur le CONDITIONNEMENT NEUTRE : définition et fonctionnement</w:t>
    </w:r>
  </w:p>
  <w:p w:rsidR="007C57C6" w:rsidRDefault="007C57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7C0" w:rsidRDefault="005677C0" w:rsidP="00FE66FF">
      <w:pPr>
        <w:spacing w:after="0" w:line="240" w:lineRule="auto"/>
      </w:pPr>
      <w:r>
        <w:separator/>
      </w:r>
    </w:p>
  </w:footnote>
  <w:footnote w:type="continuationSeparator" w:id="0">
    <w:p w:rsidR="005677C0" w:rsidRDefault="005677C0" w:rsidP="00FE66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A32A1"/>
    <w:multiLevelType w:val="hybridMultilevel"/>
    <w:tmpl w:val="F9807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CE4375C"/>
    <w:multiLevelType w:val="hybridMultilevel"/>
    <w:tmpl w:val="2AECF8E2"/>
    <w:lvl w:ilvl="0" w:tplc="04090001">
      <w:start w:val="1"/>
      <w:numFmt w:val="bullet"/>
      <w:lvlText w:val=""/>
      <w:lvlJc w:val="left"/>
      <w:pPr>
        <w:ind w:left="6" w:hanging="360"/>
      </w:pPr>
      <w:rPr>
        <w:rFonts w:ascii="Symbol" w:hAnsi="Symbol" w:hint="default"/>
      </w:rPr>
    </w:lvl>
    <w:lvl w:ilvl="1" w:tplc="04090003" w:tentative="1">
      <w:start w:val="1"/>
      <w:numFmt w:val="bullet"/>
      <w:lvlText w:val="o"/>
      <w:lvlJc w:val="left"/>
      <w:pPr>
        <w:ind w:left="726" w:hanging="360"/>
      </w:pPr>
      <w:rPr>
        <w:rFonts w:ascii="Courier New" w:hAnsi="Courier New" w:cs="Courier New" w:hint="default"/>
      </w:rPr>
    </w:lvl>
    <w:lvl w:ilvl="2" w:tplc="04090005" w:tentative="1">
      <w:start w:val="1"/>
      <w:numFmt w:val="bullet"/>
      <w:lvlText w:val=""/>
      <w:lvlJc w:val="left"/>
      <w:pPr>
        <w:ind w:left="1446" w:hanging="360"/>
      </w:pPr>
      <w:rPr>
        <w:rFonts w:ascii="Wingdings" w:hAnsi="Wingdings" w:hint="default"/>
      </w:rPr>
    </w:lvl>
    <w:lvl w:ilvl="3" w:tplc="04090001" w:tentative="1">
      <w:start w:val="1"/>
      <w:numFmt w:val="bullet"/>
      <w:lvlText w:val=""/>
      <w:lvlJc w:val="left"/>
      <w:pPr>
        <w:ind w:left="2166" w:hanging="360"/>
      </w:pPr>
      <w:rPr>
        <w:rFonts w:ascii="Symbol" w:hAnsi="Symbol" w:hint="default"/>
      </w:rPr>
    </w:lvl>
    <w:lvl w:ilvl="4" w:tplc="04090003" w:tentative="1">
      <w:start w:val="1"/>
      <w:numFmt w:val="bullet"/>
      <w:lvlText w:val="o"/>
      <w:lvlJc w:val="left"/>
      <w:pPr>
        <w:ind w:left="2886" w:hanging="360"/>
      </w:pPr>
      <w:rPr>
        <w:rFonts w:ascii="Courier New" w:hAnsi="Courier New" w:cs="Courier New" w:hint="default"/>
      </w:rPr>
    </w:lvl>
    <w:lvl w:ilvl="5" w:tplc="04090005" w:tentative="1">
      <w:start w:val="1"/>
      <w:numFmt w:val="bullet"/>
      <w:lvlText w:val=""/>
      <w:lvlJc w:val="left"/>
      <w:pPr>
        <w:ind w:left="3606" w:hanging="360"/>
      </w:pPr>
      <w:rPr>
        <w:rFonts w:ascii="Wingdings" w:hAnsi="Wingdings" w:hint="default"/>
      </w:rPr>
    </w:lvl>
    <w:lvl w:ilvl="6" w:tplc="04090001" w:tentative="1">
      <w:start w:val="1"/>
      <w:numFmt w:val="bullet"/>
      <w:lvlText w:val=""/>
      <w:lvlJc w:val="left"/>
      <w:pPr>
        <w:ind w:left="4326" w:hanging="360"/>
      </w:pPr>
      <w:rPr>
        <w:rFonts w:ascii="Symbol" w:hAnsi="Symbol" w:hint="default"/>
      </w:rPr>
    </w:lvl>
    <w:lvl w:ilvl="7" w:tplc="04090003" w:tentative="1">
      <w:start w:val="1"/>
      <w:numFmt w:val="bullet"/>
      <w:lvlText w:val="o"/>
      <w:lvlJc w:val="left"/>
      <w:pPr>
        <w:ind w:left="5046" w:hanging="360"/>
      </w:pPr>
      <w:rPr>
        <w:rFonts w:ascii="Courier New" w:hAnsi="Courier New" w:cs="Courier New" w:hint="default"/>
      </w:rPr>
    </w:lvl>
    <w:lvl w:ilvl="8" w:tplc="04090005" w:tentative="1">
      <w:start w:val="1"/>
      <w:numFmt w:val="bullet"/>
      <w:lvlText w:val=""/>
      <w:lvlJc w:val="left"/>
      <w:pPr>
        <w:ind w:left="5766" w:hanging="360"/>
      </w:pPr>
      <w:rPr>
        <w:rFonts w:ascii="Wingdings" w:hAnsi="Wingdings" w:hint="default"/>
      </w:rPr>
    </w:lvl>
  </w:abstractNum>
  <w:abstractNum w:abstractNumId="2">
    <w:nsid w:val="7A93295B"/>
    <w:multiLevelType w:val="hybridMultilevel"/>
    <w:tmpl w:val="A97203A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6FF"/>
    <w:rsid w:val="0006636A"/>
    <w:rsid w:val="000C0DAB"/>
    <w:rsid w:val="000D5380"/>
    <w:rsid w:val="00183CBC"/>
    <w:rsid w:val="001864B3"/>
    <w:rsid w:val="001A4072"/>
    <w:rsid w:val="001C7E1C"/>
    <w:rsid w:val="00222765"/>
    <w:rsid w:val="0025435F"/>
    <w:rsid w:val="002E7E24"/>
    <w:rsid w:val="002F6E7D"/>
    <w:rsid w:val="003A7CB0"/>
    <w:rsid w:val="00407869"/>
    <w:rsid w:val="00467830"/>
    <w:rsid w:val="00493782"/>
    <w:rsid w:val="004D60B8"/>
    <w:rsid w:val="004E6CEA"/>
    <w:rsid w:val="004F64E4"/>
    <w:rsid w:val="004F7DA3"/>
    <w:rsid w:val="00503514"/>
    <w:rsid w:val="005677C0"/>
    <w:rsid w:val="0066349E"/>
    <w:rsid w:val="0068433E"/>
    <w:rsid w:val="006943B6"/>
    <w:rsid w:val="00753E8E"/>
    <w:rsid w:val="007C57C6"/>
    <w:rsid w:val="00847DC6"/>
    <w:rsid w:val="008905E4"/>
    <w:rsid w:val="0090198D"/>
    <w:rsid w:val="00946B1D"/>
    <w:rsid w:val="009F12EC"/>
    <w:rsid w:val="00A073B2"/>
    <w:rsid w:val="00A46100"/>
    <w:rsid w:val="00A5547E"/>
    <w:rsid w:val="00A830AC"/>
    <w:rsid w:val="00AA0D63"/>
    <w:rsid w:val="00AC7AB7"/>
    <w:rsid w:val="00B0421A"/>
    <w:rsid w:val="00BC1B15"/>
    <w:rsid w:val="00C751EE"/>
    <w:rsid w:val="00CA6245"/>
    <w:rsid w:val="00CA6DA4"/>
    <w:rsid w:val="00CB1EA6"/>
    <w:rsid w:val="00D36A0A"/>
    <w:rsid w:val="00D55B81"/>
    <w:rsid w:val="00D80731"/>
    <w:rsid w:val="00DC705B"/>
    <w:rsid w:val="00E23C6D"/>
    <w:rsid w:val="00E379C2"/>
    <w:rsid w:val="00E41B78"/>
    <w:rsid w:val="00E6381E"/>
    <w:rsid w:val="00E7738C"/>
    <w:rsid w:val="00E86B9E"/>
    <w:rsid w:val="00F85E1B"/>
    <w:rsid w:val="00FB0F7A"/>
    <w:rsid w:val="00FC6ECF"/>
    <w:rsid w:val="00FE66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6FF"/>
    <w:pPr>
      <w:ind w:left="720"/>
      <w:contextualSpacing/>
    </w:pPr>
  </w:style>
  <w:style w:type="paragraph" w:styleId="EndnoteText">
    <w:name w:val="endnote text"/>
    <w:basedOn w:val="Normal"/>
    <w:link w:val="EndnoteTextChar"/>
    <w:uiPriority w:val="99"/>
    <w:semiHidden/>
    <w:unhideWhenUsed/>
    <w:rsid w:val="00FE66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E66FF"/>
    <w:rPr>
      <w:sz w:val="20"/>
      <w:szCs w:val="20"/>
    </w:rPr>
  </w:style>
  <w:style w:type="character" w:styleId="EndnoteReference">
    <w:name w:val="endnote reference"/>
    <w:basedOn w:val="DefaultParagraphFont"/>
    <w:uiPriority w:val="99"/>
    <w:semiHidden/>
    <w:unhideWhenUsed/>
    <w:rsid w:val="00FE66FF"/>
    <w:rPr>
      <w:vertAlign w:val="superscript"/>
    </w:rPr>
  </w:style>
  <w:style w:type="table" w:styleId="TableGrid">
    <w:name w:val="Table Grid"/>
    <w:basedOn w:val="TableNormal"/>
    <w:uiPriority w:val="39"/>
    <w:rsid w:val="00FE6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E66FF"/>
    <w:rPr>
      <w:color w:val="0000FF"/>
      <w:u w:val="single"/>
    </w:rPr>
  </w:style>
  <w:style w:type="paragraph" w:styleId="NoSpacing">
    <w:name w:val="No Spacing"/>
    <w:uiPriority w:val="1"/>
    <w:qFormat/>
    <w:rsid w:val="00FE66FF"/>
    <w:pPr>
      <w:spacing w:after="0" w:line="240" w:lineRule="auto"/>
    </w:pPr>
  </w:style>
  <w:style w:type="paragraph" w:styleId="BalloonText">
    <w:name w:val="Balloon Text"/>
    <w:basedOn w:val="Normal"/>
    <w:link w:val="BalloonTextChar"/>
    <w:uiPriority w:val="99"/>
    <w:semiHidden/>
    <w:unhideWhenUsed/>
    <w:rsid w:val="00FC6E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6ECF"/>
    <w:rPr>
      <w:rFonts w:ascii="Lucida Grande" w:hAnsi="Lucida Grande" w:cs="Lucida Grande"/>
      <w:sz w:val="18"/>
      <w:szCs w:val="18"/>
    </w:rPr>
  </w:style>
  <w:style w:type="paragraph" w:styleId="Header">
    <w:name w:val="header"/>
    <w:basedOn w:val="Normal"/>
    <w:link w:val="HeaderChar"/>
    <w:uiPriority w:val="99"/>
    <w:unhideWhenUsed/>
    <w:rsid w:val="007C5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7C6"/>
  </w:style>
  <w:style w:type="paragraph" w:styleId="Footer">
    <w:name w:val="footer"/>
    <w:basedOn w:val="Normal"/>
    <w:link w:val="FooterChar"/>
    <w:uiPriority w:val="99"/>
    <w:unhideWhenUsed/>
    <w:rsid w:val="007C5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7C6"/>
  </w:style>
  <w:style w:type="character" w:styleId="FollowedHyperlink">
    <w:name w:val="FollowedHyperlink"/>
    <w:basedOn w:val="DefaultParagraphFont"/>
    <w:uiPriority w:val="99"/>
    <w:semiHidden/>
    <w:unhideWhenUsed/>
    <w:rsid w:val="001864B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6FF"/>
    <w:pPr>
      <w:ind w:left="720"/>
      <w:contextualSpacing/>
    </w:pPr>
  </w:style>
  <w:style w:type="paragraph" w:styleId="EndnoteText">
    <w:name w:val="endnote text"/>
    <w:basedOn w:val="Normal"/>
    <w:link w:val="EndnoteTextChar"/>
    <w:uiPriority w:val="99"/>
    <w:semiHidden/>
    <w:unhideWhenUsed/>
    <w:rsid w:val="00FE66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E66FF"/>
    <w:rPr>
      <w:sz w:val="20"/>
      <w:szCs w:val="20"/>
    </w:rPr>
  </w:style>
  <w:style w:type="character" w:styleId="EndnoteReference">
    <w:name w:val="endnote reference"/>
    <w:basedOn w:val="DefaultParagraphFont"/>
    <w:uiPriority w:val="99"/>
    <w:semiHidden/>
    <w:unhideWhenUsed/>
    <w:rsid w:val="00FE66FF"/>
    <w:rPr>
      <w:vertAlign w:val="superscript"/>
    </w:rPr>
  </w:style>
  <w:style w:type="table" w:styleId="TableGrid">
    <w:name w:val="Table Grid"/>
    <w:basedOn w:val="TableNormal"/>
    <w:uiPriority w:val="39"/>
    <w:rsid w:val="00FE6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E66FF"/>
    <w:rPr>
      <w:color w:val="0000FF"/>
      <w:u w:val="single"/>
    </w:rPr>
  </w:style>
  <w:style w:type="paragraph" w:styleId="NoSpacing">
    <w:name w:val="No Spacing"/>
    <w:uiPriority w:val="1"/>
    <w:qFormat/>
    <w:rsid w:val="00FE66FF"/>
    <w:pPr>
      <w:spacing w:after="0" w:line="240" w:lineRule="auto"/>
    </w:pPr>
  </w:style>
  <w:style w:type="paragraph" w:styleId="BalloonText">
    <w:name w:val="Balloon Text"/>
    <w:basedOn w:val="Normal"/>
    <w:link w:val="BalloonTextChar"/>
    <w:uiPriority w:val="99"/>
    <w:semiHidden/>
    <w:unhideWhenUsed/>
    <w:rsid w:val="00FC6E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6ECF"/>
    <w:rPr>
      <w:rFonts w:ascii="Lucida Grande" w:hAnsi="Lucida Grande" w:cs="Lucida Grande"/>
      <w:sz w:val="18"/>
      <w:szCs w:val="18"/>
    </w:rPr>
  </w:style>
  <w:style w:type="paragraph" w:styleId="Header">
    <w:name w:val="header"/>
    <w:basedOn w:val="Normal"/>
    <w:link w:val="HeaderChar"/>
    <w:uiPriority w:val="99"/>
    <w:unhideWhenUsed/>
    <w:rsid w:val="007C5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7C6"/>
  </w:style>
  <w:style w:type="paragraph" w:styleId="Footer">
    <w:name w:val="footer"/>
    <w:basedOn w:val="Normal"/>
    <w:link w:val="FooterChar"/>
    <w:uiPriority w:val="99"/>
    <w:unhideWhenUsed/>
    <w:rsid w:val="007C5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7C6"/>
  </w:style>
  <w:style w:type="character" w:styleId="FollowedHyperlink">
    <w:name w:val="FollowedHyperlink"/>
    <w:basedOn w:val="DefaultParagraphFont"/>
    <w:uiPriority w:val="99"/>
    <w:semiHidden/>
    <w:unhideWhenUsed/>
    <w:rsid w:val="001864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ris.govspace.gov.au/2016/02/26/tobacco-plain-packaging/" TargetMode="External"/><Relationship Id="rId3" Type="http://schemas.openxmlformats.org/officeDocument/2006/relationships/hyperlink" Target="http://www.cancervic.org.au/plainfacts/plainfacts-evidence" TargetMode="External"/><Relationship Id="rId7" Type="http://schemas.openxmlformats.org/officeDocument/2006/relationships/hyperlink" Target="http://onlinelibrary.wiley.com/doi/10.1002/14651858.CD011244.pub2/abstract" TargetMode="External"/><Relationship Id="rId2" Type="http://schemas.openxmlformats.org/officeDocument/2006/relationships/hyperlink" Target="http://global.tobaccofreekids.org/files/pdfs/en/standardized_packaging_developments_en.pdf" TargetMode="External"/><Relationship Id="rId1" Type="http://schemas.openxmlformats.org/officeDocument/2006/relationships/hyperlink" Target="http://tobaccocontrol.bmj.com/content/11/suppl_1/i73.full" TargetMode="External"/><Relationship Id="rId6" Type="http://schemas.openxmlformats.org/officeDocument/2006/relationships/hyperlink" Target="http://health.gov.ie/blog/publications/standardised-packaging-d-hammond/" TargetMode="External"/><Relationship Id="rId5" Type="http://schemas.openxmlformats.org/officeDocument/2006/relationships/hyperlink" Target="http://www.kcl.ac.uk/health/10035-TSO-2901853-Chantler-Review-ACCESSIBLE.PDF" TargetMode="External"/><Relationship Id="rId4" Type="http://schemas.openxmlformats.org/officeDocument/2006/relationships/hyperlink" Target="http://phrc.lshtm.ac.uk/project_2011-2016_006.html" TargetMode="External"/><Relationship Id="rId9" Type="http://schemas.openxmlformats.org/officeDocument/2006/relationships/hyperlink" Target="http://www.who.int/fctc/guidelines/adopted/guidel_201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E7ED4-2B02-4954-BEC6-4411F7F3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929</Words>
  <Characters>5300</Characters>
  <Application>Microsoft Office Word</Application>
  <DocSecurity>4</DocSecurity>
  <Lines>44</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Eckford</dc:creator>
  <cp:lastModifiedBy>Kaitlin Donley</cp:lastModifiedBy>
  <cp:revision>2</cp:revision>
  <cp:lastPrinted>2017-11-03T16:46:00Z</cp:lastPrinted>
  <dcterms:created xsi:type="dcterms:W3CDTF">2017-11-17T19:26:00Z</dcterms:created>
  <dcterms:modified xsi:type="dcterms:W3CDTF">2017-11-17T19:26:00Z</dcterms:modified>
</cp:coreProperties>
</file>